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Պետության  2024 թվականի կարիքների համար համակարգչային տեխնիկայի ձեռքբերման նպատակով կազմակերպված ԲՏԱՆ-ԷԱՃԱՊՁԲ-2024/13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010 590137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diana.grigoryan@hti.am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Պետության  2024 թվականի կարիքների համար համակարգչային տեխնիկայի ձեռքբերման նպատակով կազմակերպված ԲՏԱՆ-ԷԱՃԱՊՁԲ-2024/13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Պետության  2024 թվականի կարիքների համար համակարգչային տեխնիկայի ձեռքբերման նպատակով կազմակերպված ԲՏԱՆ-ԷԱՃԱՊՁԲ-2024/13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diana.grigoryan@hti.am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Պետության  2024 թվականի կարիքների համար համակարգչային տեխնիկայի ձեռքբերման նպատակով կազմակերպված ԲՏԱՆ-ԷԱՃԱՊՁԲ-2024/13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ԲՏԱՆ-ԷԱՃԱՊՁԲ-2024/13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ԲՏԱՆ-ԷԱՃԱՊՁԲ-2024/13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ԲՏԱՆ-ԷԱՃԱՊՁԲ-2024/13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ԲՏԱՆ-ԷԱՃԱՊՁԲ-2024/13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ԲՏԱՆ-ԷԱՃԱՊՁԲ-2024/13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առաջին չափաբաժնի համար երաշխիքային ժամկետ է սահմանվում նվազագույնը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CLEVERTOUCH IMPACT LUX SERIES: 65" ԿԱՄ ՀԱՄԱՐԺԵՔ
LCD վահանակ:
Անկյունագիծ: ոչ պակաս քան 65”/165.1cm; Ակտիվ տարածք (մմ): ոչ պակաս քան 1428 x 803; Հարաբերակցություն: ոչ պակաս քան 4K/Ultra HD (3840x2160 pixels); Պայծառություն (cd/m²): ոչ պակաս քան 500; Կոնտրաստ հարաբերակցությունը: ոչ պակաս քան 4000:1; Դինամիկ հակադրության հարաբերակցություն: ոչ պակաս քան 6000:1; Հարաբերակցությունը: 16:9; Էկրանի գույները: ոչ պակաս քան 1.07 Billion (10bit); Հետևի լույսի տեսակը: D-LED; Թարմացման արագությունը: 60Hz; LCD դիտման անկյուն: ոչ պակաս քան 178⁰; Super Glide մակերեսը: Այո; Ապակի: Low Parallax 0mm Air Gap - Heat tempered - Anti Glare and Anti Smudge for durability - Super Glide Surface կամ համարժեք; Ապակու կարծրություն: AG Tempered Glass - Mohs Level 7 կամ համարժեք; Արձագանքման ժամանակը (ms): ոչ ավել քան 5ms; Ներկառուցված բարձրախոսներ (W): 2 x 20W Front Facing + 2x 10W Subwoofer կամ համարժեք ներկառուցված բարձրախոսներ; Line Array Microphone (աղմուկի չեղարկում): 8mic; Ներկառուցված Android համակարգիչ: Այո; Էկրանի կյանքը: ոչ պակաս քան 50000 ժամ; Ներկառուցված լույսի սենսորներ: Այո։
Ինտերակտիվ համակարգ.
Գրելու տեխնոլոգիա։ High Precision IR Technology + Material Classification Sensor; Շարունակական հպման կետեր։ ոչ պակաս քան 50; Հպման հարաբերակցություն։ ոչ պակաս քան 32768x32768px; Արձագանքման ժամանակը: ≤5ms; Հպման ճշգրտություն։ 1 mm կամ բարձր ցուցանիշ; Օբյեկտի նվազագույն չափը։ 2mm կամ բարձր ցուցանիշ; Հպման գործիք։ Finger passive pen opaque objects; Միաժամանակյա գրություն։ Այո; Ink In Tools: Այո – LYNX; Ներառված գրիչներ։ 2 with different colour assignment to each end; Գրիչի տեսակը: Dual Recognition Stylus | Super Cool Stylus 2.0 կամ համարժեք; Գրիչի պատյան։ Ինտեգրված մագնիսական գրիչների պատյան; Գրիչի և հպման տարբերակում։ Այո; Ափի մերժում։ Այո; Դասասենյակի հիմնական հավելվածներ։ Includes Whiteboard Annotate Timer Media Players Browser PDF Reader Screen Record Spinner Voting Maths Tools; Համատեղելիություն: Windows 10 Linux Mac Android Chrome; Tracking Rate: ≥1m/s; Scan Rate: ≥100Hz; Gestures and Edge Swipes: Windows Supported OSX With additional Driver;
Միացում․
OPS Slot: 1 - Intel® spec 80Pin կամ համարժեք; HDMI in: 3; HDMI Out: 1; USB-A 2.0: 3; USB Touch (type B): 3; USB A 3.0 (faster data transfer): 4; USB C (Video Audio and Touch): 1 x USB Side Type C with video audio touch and network 1 x USB Front Type C with video audio touch network and 100W charging; USB C (Data Transfer): 1 x USB Top Type C; Supports data transfer for top mounted camera; USB C Out: 1; Display Port In: 1; LAN In (RJ45): 1 GB; LAN Out (RJ45): 1; RS-232: Այո; Wake-on-Lan: Այո; Wireless Adapter 2.0 + WAP: IEEE 802.11a/b/g/n/ac/ax with 2 × 2 MIMO (hotspot only) (both 2.4 and 5 GHz bands) կամ բարձր; Clevertouch Wi-Fi Module կամ համարժեքը: Այո; Capable of speeds up to 1GB; Bluetooth: Այո – 5.2 կամ բարձր;
VGA In.
Audio In (3.5mm): 1; Optical Out (SPDIF): 1 (coax); Headphone (3.5mm): 1; Array Mic: 8; Total Touch Out ports: 3; NFC Reader / Writer: Integrated; Camera: Optional extra; Proximity Sensor: Այո;
Սնուցում.
Power (W): 117; Power in standby mode (W): «0.5; Ultra Quiet Fanless Design: Այո; VESA (mm): 600 x 400; Android Capabilities Operating System: Android 13.0 կամ բարձր; System Version: LUX 13 կամ համարժեք; RAM: 8 GB կամ բարձր; Internal Storage: ոչ պակաս քան 128GB; CPU: Quad Core A76 + Quad Core A55 կամ բարձր; GPU: Mali G610 MC4 կամ բարձր; Android Resolution: 4K կամ բարձր; Integrated LUX UI: Այո; System Architecture: 64-bit; Google Certification: EDLA Certified (Enterprise Device Licence Agreement); Access to Google Playstore Apps: Այո (certified); Access to Microsoft Apps: Այո (certified); Access to Google Cloud Services: Այո (certified);
Հավելվածներ և Android-ի առանձնահատկություններ.
LYNX™ App With Online Lesson Planning: Այո; Cleverstore™ App Store For Education կամ համարժեքը: Այո; Embedded Digital Signage: Այո; Clevershare™ Mirroring Any Device To The Board կամ համարժեքը: Free for the life of the screen (touch back); Integrated Personalised Accounts Profiles: Այո; Cloud Account Access: OneDrive; Google Drive; LYNX Cloud Embedded Room Booking: Այո; Whiteboard Annotation: Այո; Email Out Direct From Touchscreen: Այո; Scan QR Code For Saving Work: Այո; CleverMessage™ - Instant Alert Messaging կամ համարժեքը: Այո; Over-the-Air Updates: Այո; CleverLauncher™: Այո; LynxShare: Այո; LynxCloud™: Այո; Remote Management Of Touchscreens (MDM): Այո.
Մոնտաժային լուծում. Clevertouch Motorized Height Adjustable Trolley/Cart for 46" - 86” displays կամ համարժեք սակայն համադրելի առաջարկվող ինտերակտիվ էկրանի հետ. Height to centre of screen 1,120 mm to 1,620 mm, up to 800 x 600 VESA, V-base, black.
Կոմպլեկտավորումը և փաթեթավորումը գործարանային (ներառված բոլոր բաղկացուցիչ մասերն ու մալուխները)
Երաշխիքային սպասարկման ապահովում սպասարկման կենտրոնում (հրավերով նախատեսված՝ առաջարկվող ապրանքի տեխնիկական բնութագիրը ներկայացնելիս տրամադրվում է նաև սպասարկման կենտրոնի տվյալները)` նվազագույնը 5 տարի։
«Գնումների մասին ՀՀ օրենքի 13-րդ հոդվածի 5-րդ մասով նախատեսված ցանկացած հղման դեպքում կիրառելի է «կամ համարժեքը»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CP700 USB SPEAKERPHONE կամ համարժեք
Տուփում ներառված է՝ Speakerphone, Zipper bag; Մարտկոց՝ Charging time: approximately minimum 3 hours, Talk time: minimum 10 hours, Standby time: minimum 360 days; Չափսերը` 120 diameter x 28 mm ±20mm; Լարային միացում՝ USB 2.0 or higher; Անլար միացում՝ Bluetooth 4.0 or higher; Մալուխի երկարություն՝ minimum 0.8 Meters (2.6 feet); Աուդիո՝ Optima HD voice, audio duplex, noise suppression, acoustic echo cancellation․ Microsoft teams certified․
«Գնումների մասին ՀՀ օրենքի 13-րդ հոդվածի 5-րդ մասով նախատեսված ցանկացած հղման դեպքում կիրառելի է «կամ համարժեքը»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XIAOMI PAD 6 8GB/256GB (GRAVITY GRAY) կամ համարժեք
Էկրան. Էկրանի տեսակը: IPS LCD, Էկրանի Կետայնություն: ոչ պակաս քան 3840x2160, Էկրանի չափսը: 10-ից մինչև 13inch;
Տեսախցիկներ. Դիմային տեսախցիկ: ոչ պակաս քան 8 MP, Հիմնական տեսախցիկ: ոչ պակաս քան 13 MP;
Հիշողություն և Պրոցեսոր. Չիպսեթ: Qualcomm SM8250-AC Snapdragon 870 5G (7 nm) կամ համարժեք, Պրոցեսորների միջուկների քանակը: ոչ պակաս քան Octa-core, Պրոցեսոր: նվազագույնը 1x3.2 GHz Kryo 585 and 3x2.42 GHz Kryo 585 and 4x1.80 GHz Kryo 585, Օպերատիվ հիշողություն: ոչ պակաս քան 8 GB, Հիշողություն: ոչ պակաս քան 256 GB.
Ցանց․ Bluetooth: Այո, WiFi ցանց: Այո.
Սնուցում. Մարտկոցի հզորությունը: նվազագույնը 8800mAh.
Այլ․ Կշիռ։ ոչ ավել քան 700g, Հաստություն։ ոչ ավել քան 10 mm, Գույն։ սև/մոխրագույն։
Կոմպլեկտավորումը և փաթեթավորումը գործարանային (ներառված բոլոր բաղկացուցիչ մասերն ու մալուխները),
Երաշխիքային սպասարկման ապահովում սպասարկման կենտրոնում (հրավերով նախատեսված՝ առաջարկվող ապրանքի տեխնիկական բնութագիրը ներկայացնելիս տրամադրվում է նաև սպասարկման կենտրոնի տվյալները)` նվազագույնը 1 տարի։
«Գնումների մասին ՀՀ օրենքի 13-րդ հոդվածի 5-րդ մասով նախատեսված ցանկացած հղման դեպքում կիրառելի է «կամ համարժեքը»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ՁԱՅՆԱԳՐԻՉ SONY PX470 DIGITAL VOICE RECORDER PX SERIES ԿԱՄ ՀԱՄԱՐԺԵՔ՝
Մարտկոցի տեսակ՝ չոր մարտկոց (Dry cell): Կոմպլեկտում առկա մարտկոցի տեսակ՝ AAA x2: Հիշողության տեսակ՝ նեքրին + արտաքին: Ներքին հիշողություն՝ ոչ պակաս քան 4GB: Հիշողության քարտի սլոտ՝ micro SD: Ներկառուցված միկրոֆոն՝ ստերեոֆոնիկ: Օրացույցով փնտրել՝ այո: Առկա մաքսիմալ ֆայլերի քանակ՝ ոչ պակաս քան 5000: Թղթապանակում առկա մաքսիմալ ֆայլեր՝ ոչ պակաս քան 150: Մենյուի լեզու: ռուսերեն/անգլերեն/ֆրանսերեն: Համակարգչին միացում՝ այո – USB 2.0:  Նվագարկման ֆորմատ՝ MP3 / WMA / AAC-LC / L-PCM: Ձայնագրման ֆորմատ՝ MP3 / L-PCM: ՔԱՇ՝ ոչ ավել քան 100գ: Չափսեր (լայնություն x բարձրություն x խորություն)՝ ոչ ավել քան 50 x 120 x 20մմ: Իրանի նյութ՝ պլաստիկ: Իրանի գույն՝ սև/մոխրագույն: Հնարավորություններ՝ բոլոր ձայնագրությունների համարակալում,  կոճակների արգելափակում, դադար, գաղտնաբառով պաշտպանություն:
Ձայնագրման առավելագույն տևողություն. 48Kb/s (մոնո)՝ ոչ պակաս քան 159 ժամ, MP3 128 kb/s–ի դեպքում՝ ոչ պակաս քան 59 ժամ, MP3 192 kb/s–ի դեպքում՝ ոչ պակաս քան 39 ժամ, LPCM 44,1 ԿՀց, 16 բիթ-ի դեպքում՝ ոչ պակաս քան 5 ժամ:
Աշխատանքային ժամանակ ձայնագրմանԱ ժամանակ (սնուցումը մարտկոցից) 48Kb/s (մոնո)՝ ոչ պակաս քան 62 ժամ, MP3 128 kb/s–ի դեպքում՝ ոչ պակաս քան 57 ժամ, MP3 192 kb/s–ի դեպքում՝ ոչ պակաս քան 55 ժամ, LPCM 44,1 ԿՀց, 16 բիթ-ի դեպքում՝ ոչ պակաս քան 40 ժամ:
Հաճախականության տիրույթ. LPCM՝ 44,1 ԿՀց, 16 բիթ, MP3 ֆայլեր (192 kb/s)՝ 50-20000 Hz. MP3 (128 kb/s)-ի դեպքում՝ 50-16000 Hz:
Տեսարաանի ընտրություն (SCENE SELECT)՝ այո: Ձայնագրման կառավարում՝ այո: Բարձր հաճախությունների ֆիլտրում՝ այո: VOR` այո:  Օպտիմիզացված ձայնագրում (OPTIMIZED VOICE REC)՝ այո:
Կրկնություն A-B` այո: Բարձրության թվային կառավարում (արագության կառավարում)` այո: Ձայնի թվային առանձնացում (DIGITAL VOICE UP)՝ այո: Բաժանում՝ այո: Հեշտ փնտրում՝ այո: Մաքրում՝ այո:  Ֆայլի պատճեն՝ այո: Ֆայլի տեղափոխում՝ այո: Աղմուկի նվազեցում՝ այո: Պաշտպանություն՝ այո: TRACK MARK՝ այո:
Մուտքային և ելքային ինտերֆեյսներ՝ [PC I/F] Hi-Speed USB [մուտք] ստերեոմիկրոֆոնի բնիկ [ելք] ստերեոականջակալների բնիկ:
Կոմպլեկտավորումը և փաթեթավորումը գործարանային (ներառված բոլոր բաղկացուցիչ մասերն ու մալուխները),
երաշխիքային սպասարկման ապահովում սպասարկման կենտրոնում (հրավերով նախատեսված՝ առաջարկվող ապրանքի տեխնիկական բնութագիրը ներկայացնելիս տրամադրվում է նաև սպասարկման կենտրոնի տվյալները) նվազագույնը 1 տարի։
«Գնումների մասին ՀՀ օրենքի 13-րդ հոդվածի 5-րդ մասով նախատեսված ցանկացած հղման դեպքում կիրառելի է «կամ համարժեքը» արտահայտությունը: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համապատասխան ֆինանսական միջոցներ նախատեսվելու դեպքում կողմերի միջև կնքվելիք Համաձայնագիրը ուժի մեջ մտնելու օրվանից 50 օրացուցային օրվա ընթացքում,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համապատասխան ֆինանսական միջոցներ նախատեսվելու դեպքում կողմերի միջև կնքվելիք Համաձայնագիրը ուժի մեջ մտնելու օրվանից 50 օրացուցային օրվա ընթացքում,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համապատասխան ֆինանսական միջոցներ նախատեսվելու դեպքում կողմերի միջև կնքվելիք Համաձայնագիրը ուժի մեջ մտնելու օրվանից 50 օրացուցային օրվա ընթացքում,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համապատասխան ֆինանսական միջոցներ նախատեսվելու դեպքում կողմերի միջև կնքվելիք Համաձայնագիրը ուժի մեջ մտնելու օրվանից 50 օրացուցային օրվա ընթացքում,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