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45" w:rsidRPr="00CD3D45" w:rsidRDefault="00CD3D45" w:rsidP="00CD3D45">
      <w:pPr>
        <w:ind w:right="-22"/>
        <w:jc w:val="center"/>
        <w:rPr>
          <w:rFonts w:ascii="GHEA Grapalat" w:eastAsia="Calibri" w:hAnsi="GHEA Grapalat" w:cs="Arial"/>
          <w:sz w:val="20"/>
          <w:szCs w:val="24"/>
          <w:lang w:val="es-ES"/>
        </w:rPr>
      </w:pPr>
      <w:r w:rsidRPr="00463FA4">
        <w:rPr>
          <w:rFonts w:ascii="GHEA Grapalat" w:hAnsi="GHEA Grapalat" w:cs="Arial"/>
          <w:b/>
          <w:szCs w:val="24"/>
          <w:lang w:val="hy-AM"/>
        </w:rPr>
        <w:t>ԳՆՄԱՆ ՀԱՅՏ</w:t>
      </w:r>
    </w:p>
    <w:p w:rsidR="00B23154" w:rsidRPr="00BF3EFA" w:rsidRDefault="00B14379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B14379">
        <w:rPr>
          <w:rFonts w:ascii="GHEA Grapalat" w:hAnsi="GHEA Grapalat" w:cs="Arial"/>
          <w:b/>
          <w:szCs w:val="24"/>
          <w:lang w:val="hy-AM"/>
        </w:rPr>
        <w:t>ԳՐԱՍԵՆՅԱԿԱՅԻՆ ԿԱՀՈՒՅՔԻ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p w:rsidR="00646AE3" w:rsidRDefault="00646AE3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</w:p>
    <w:tbl>
      <w:tblPr>
        <w:tblW w:w="1304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3402"/>
        <w:gridCol w:w="1134"/>
        <w:gridCol w:w="1134"/>
        <w:gridCol w:w="1276"/>
        <w:gridCol w:w="1417"/>
      </w:tblGrid>
      <w:tr w:rsidR="00A060A6" w:rsidRPr="00463FA4" w:rsidTr="00BC7DBD">
        <w:trPr>
          <w:trHeight w:val="268"/>
        </w:trPr>
        <w:tc>
          <w:tcPr>
            <w:tcW w:w="13037" w:type="dxa"/>
            <w:gridSpan w:val="8"/>
          </w:tcPr>
          <w:p w:rsidR="00A060A6" w:rsidRPr="00463FA4" w:rsidRDefault="00A060A6" w:rsidP="00153543">
            <w:pPr>
              <w:jc w:val="center"/>
              <w:rPr>
                <w:rFonts w:ascii="GHEA Grapalat" w:hAnsi="GHEA Grapalat"/>
                <w:szCs w:val="24"/>
              </w:rPr>
            </w:pPr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</w:p>
        </w:tc>
      </w:tr>
      <w:tr w:rsidR="00BC7DBD" w:rsidRPr="00463FA4" w:rsidTr="00BC7DBD">
        <w:trPr>
          <w:trHeight w:val="504"/>
        </w:trPr>
        <w:tc>
          <w:tcPr>
            <w:tcW w:w="1560" w:type="dxa"/>
            <w:vMerge w:val="restart"/>
            <w:vAlign w:val="center"/>
          </w:tcPr>
          <w:p w:rsidR="00BC7DBD" w:rsidRPr="00B14379" w:rsidRDefault="00BC7DBD" w:rsidP="00B14379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842" w:type="dxa"/>
            <w:vMerge w:val="restart"/>
            <w:vAlign w:val="center"/>
          </w:tcPr>
          <w:p w:rsidR="00BC7DBD" w:rsidRPr="00B14379" w:rsidRDefault="00BC7DBD" w:rsidP="00B1437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402" w:type="dxa"/>
            <w:vMerge w:val="restart"/>
            <w:vAlign w:val="center"/>
          </w:tcPr>
          <w:p w:rsidR="00BC7DBD" w:rsidRPr="00B14379" w:rsidRDefault="00BC7DBD" w:rsidP="00B1437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BC7DBD" w:rsidRPr="00B14379" w:rsidRDefault="00BC7DBD" w:rsidP="00B1437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bookmarkStart w:id="0" w:name="_GoBack"/>
            <w:bookmarkEnd w:id="0"/>
            <w:r w:rsidRPr="00B14379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B1437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B14379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693" w:type="dxa"/>
            <w:gridSpan w:val="2"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BC7DBD" w:rsidRPr="00463FA4" w:rsidTr="00BC7DBD">
        <w:trPr>
          <w:trHeight w:val="427"/>
        </w:trPr>
        <w:tc>
          <w:tcPr>
            <w:tcW w:w="1560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C7DBD" w:rsidRPr="00B14379" w:rsidRDefault="00BC7DBD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7" w:type="dxa"/>
            <w:vAlign w:val="center"/>
          </w:tcPr>
          <w:p w:rsidR="00BC7DBD" w:rsidRPr="00B14379" w:rsidRDefault="00BC7DBD" w:rsidP="00B14379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B14379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r w:rsidRPr="00B14379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BC7DBD" w:rsidRPr="00BC7DBD" w:rsidTr="00BC7DBD">
        <w:trPr>
          <w:trHeight w:val="1223"/>
        </w:trPr>
        <w:tc>
          <w:tcPr>
            <w:tcW w:w="1560" w:type="dxa"/>
            <w:vAlign w:val="center"/>
          </w:tcPr>
          <w:p w:rsidR="00BC7DBD" w:rsidRPr="00F313C5" w:rsidRDefault="00BC7DBD" w:rsidP="00B14379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842" w:type="dxa"/>
            <w:vAlign w:val="center"/>
          </w:tcPr>
          <w:p w:rsidR="00BC7DBD" w:rsidRPr="00D551ED" w:rsidRDefault="00BC7DBD" w:rsidP="00153543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39111190</w:t>
            </w:r>
            <w:r>
              <w:rPr>
                <w:rFonts w:ascii="GHEA Grapalat" w:hAnsi="GHEA Grapalat"/>
                <w:sz w:val="16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:rsidR="00BC7DBD" w:rsidRDefault="00BC7DBD" w:rsidP="0015354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Կտո</w:t>
            </w:r>
          </w:p>
          <w:p w:rsidR="00BC7DBD" w:rsidRPr="00B14379" w:rsidRDefault="00BC7DBD" w:rsidP="00153543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րե բազ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կաթոռ</w:t>
            </w:r>
          </w:p>
        </w:tc>
        <w:tc>
          <w:tcPr>
            <w:tcW w:w="3402" w:type="dxa"/>
            <w:vAlign w:val="center"/>
          </w:tcPr>
          <w:p w:rsidR="00BC7DBD" w:rsidRPr="00C24474" w:rsidRDefault="00BC7DBD" w:rsidP="00C2447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Կտորե բազ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կաթոռ,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բարձրությունը 880մմ, լայնությունը՝ 800 մմ, երկարությունը՝ 750 մմ  (կտորը </w:t>
            </w:r>
            <w:r>
              <w:rPr>
                <w:rFonts w:ascii="Sylfaen" w:hAnsi="Sylfaen"/>
                <w:sz w:val="16"/>
                <w:szCs w:val="16"/>
              </w:rPr>
              <w:t>Buldi Nobuk 906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, ներդիր՝ սպունգ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առնվազն 40մմ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) կտորի վրա կատարել դեպի կետրոն միացող կարեր ըստ կից նկարի, նստատե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ղ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ի լայնությունը՝ 500 մմ, երկարությունը՝ 540մմ։ Նստատեղի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հաստությունը՝ առնվազն՝ 160մմ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՝ սպունգ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,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բարձրությունը հատակից՝ 430մմ։ Հատակից բարձրությունը՝ 120 մմ, ոտքերը փայտյա՝ գույնը սև։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BC7DBD" w:rsidRDefault="00BC7DBD" w:rsidP="00C2447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Ապրանքը պետք է լինի լիովին նոր։ Թույլատրելի շեղումը՝ ±1</w:t>
            </w:r>
            <w:r w:rsidRPr="00646AE3">
              <w:rPr>
                <w:rFonts w:ascii="Sylfaen" w:hAnsi="Sylfaen"/>
                <w:sz w:val="16"/>
                <w:szCs w:val="16"/>
                <w:lang w:val="hy-AM"/>
              </w:rPr>
              <w:t xml:space="preserve">%: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ապրանքի տեսքը, չափերը և գույը համաձայնեցնել պատվիրատուի հետ։ Փաթեթը ներառում է՝ 1 տարի երաշխիք, կահույքի տեղափոխումն ու տեղադրումը համապատասխան սենյակներ։</w:t>
            </w:r>
          </w:p>
          <w:p w:rsidR="00BC7DBD" w:rsidRDefault="00BC7DBD" w:rsidP="00C24474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Կից նկար՝</w:t>
            </w:r>
          </w:p>
          <w:p w:rsidR="00BC7DBD" w:rsidRPr="00C24474" w:rsidRDefault="00BC7DBD" w:rsidP="00D809FE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5F9D8738" wp14:editId="39595FD0">
                  <wp:extent cx="2023110" cy="17367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Բազմոց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BC7DBD" w:rsidRPr="00B1437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14379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BC7DBD" w:rsidRPr="00B13A4B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BC7DBD" w:rsidRPr="009A1955" w:rsidRDefault="00BC7DBD" w:rsidP="0015354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  <w:vAlign w:val="center"/>
          </w:tcPr>
          <w:p w:rsidR="00BC7DBD" w:rsidRPr="009A1955" w:rsidRDefault="00BC7DBD" w:rsidP="00D20B4B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20-ից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3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0 օրացու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softHyphen/>
              <w:t>ցային օրվա ընթացքում, բայց ոչ ուշ քան 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  <w:r w:rsidRPr="00D20B4B">
              <w:rPr>
                <w:rFonts w:ascii="Times New Roman" w:hAnsi="Times New Roman"/>
                <w:sz w:val="16"/>
                <w:szCs w:val="24"/>
                <w:lang w:val="hy-AM"/>
              </w:rPr>
              <w:t>.</w:t>
            </w:r>
            <w:r w:rsidRPr="00D20B4B"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  <w:r w:rsidRPr="009A1955">
              <w:rPr>
                <w:rFonts w:ascii="Cambria Math" w:hAnsi="Cambria Math" w:cs="Cambria Math"/>
                <w:sz w:val="16"/>
                <w:szCs w:val="24"/>
                <w:lang w:val="hy-AM"/>
              </w:rPr>
              <w:t>․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</w:tr>
      <w:tr w:rsidR="00BC7DBD" w:rsidRPr="00BC7DBD" w:rsidTr="00BC7DBD">
        <w:trPr>
          <w:trHeight w:val="1223"/>
        </w:trPr>
        <w:tc>
          <w:tcPr>
            <w:tcW w:w="1560" w:type="dxa"/>
            <w:vAlign w:val="center"/>
          </w:tcPr>
          <w:p w:rsidR="00BC7DBD" w:rsidRPr="00F313C5" w:rsidRDefault="00BC7DBD" w:rsidP="001E5589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842" w:type="dxa"/>
            <w:vAlign w:val="center"/>
          </w:tcPr>
          <w:p w:rsidR="00BC7DBD" w:rsidRPr="00E90159" w:rsidRDefault="00BC7DBD" w:rsidP="001E5589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D20B4B">
              <w:rPr>
                <w:rFonts w:ascii="GHEA Grapalat" w:hAnsi="GHEA Grapalat"/>
                <w:sz w:val="16"/>
                <w:szCs w:val="24"/>
                <w:lang w:val="hy-AM"/>
              </w:rPr>
              <w:t>39111190/</w:t>
            </w:r>
            <w:r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BC7DBD" w:rsidRPr="00D20B4B" w:rsidRDefault="00BC7DBD" w:rsidP="001E558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Կտորե բազ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կաթոռ</w:t>
            </w:r>
          </w:p>
        </w:tc>
        <w:tc>
          <w:tcPr>
            <w:tcW w:w="3402" w:type="dxa"/>
            <w:vAlign w:val="center"/>
          </w:tcPr>
          <w:p w:rsidR="00BC7DBD" w:rsidRPr="00C24474" w:rsidRDefault="00BC7DBD" w:rsidP="001E558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Կտորե բազ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կաթոռ,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բարձրությունը 880մմ, լայնությունը՝ 800 մմ, երկարությունը՝ 750 մմ  (կտորը </w:t>
            </w:r>
            <w:r w:rsidRPr="00D20B4B">
              <w:rPr>
                <w:rFonts w:ascii="Sylfaen" w:hAnsi="Sylfaen"/>
                <w:sz w:val="16"/>
                <w:szCs w:val="16"/>
                <w:lang w:val="hy-AM"/>
              </w:rPr>
              <w:t>Buldi Paperm</w:t>
            </w:r>
            <w:r w:rsidRPr="001D7FD0">
              <w:rPr>
                <w:rFonts w:ascii="Sylfaen" w:hAnsi="Sylfaen"/>
                <w:sz w:val="16"/>
                <w:szCs w:val="16"/>
                <w:lang w:val="hy-AM"/>
              </w:rPr>
              <w:t>oon 035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, ներդիր՝ սպունգ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առնվազն 40մմ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) կտորի վրա կատարել դեպի կետրոն միացող կարեր ըստ կից նկարի, նստատե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ղ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ի լայնությունը՝ 500 մմ, երկարությունը՝ 540մմ։ Նստատեղի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հաստությունը՝ առնվազն՝ 160մմ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՝ սպունգ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,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բարձրությունը հատակից՝ 430մմ։ Հատակից բարձրությունը՝ 120 մմ, ոտքերը փայտյա՝ գույնը սև։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  <w:p w:rsidR="00BC7DBD" w:rsidRDefault="00BC7DBD" w:rsidP="001E558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Ապրանքը պետք է լինի լիովին նոր։ Թույլատրելի շեղումը՝ ±1</w:t>
            </w:r>
            <w:r w:rsidRPr="00646AE3">
              <w:rPr>
                <w:rFonts w:ascii="Sylfaen" w:hAnsi="Sylfaen"/>
                <w:sz w:val="16"/>
                <w:szCs w:val="16"/>
                <w:lang w:val="hy-AM"/>
              </w:rPr>
              <w:t xml:space="preserve">%: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ապրանքի տեսքը, չափերը և գույը համաձայնեցնել պատվիրատուի հետ։ Փաթեթը ներառում է՝ 1 տարի երաշխիք, կահույքի տեղափոխումն ու տեղադրումը համապատասխան սենյակներ։</w:t>
            </w:r>
          </w:p>
          <w:p w:rsidR="00BC7DBD" w:rsidRDefault="00BC7DBD" w:rsidP="001E558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Կից նկար՝</w:t>
            </w:r>
          </w:p>
          <w:p w:rsidR="00BC7DBD" w:rsidRPr="00C24474" w:rsidRDefault="00BC7DBD" w:rsidP="001E558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4BD7AB1" wp14:editId="6418A0C1">
                  <wp:extent cx="2023110" cy="17367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Բազմոց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BC7DBD" w:rsidRPr="00B1437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14379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BC7DBD" w:rsidRPr="00B13A4B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BC7DBD" w:rsidRPr="009A1955" w:rsidRDefault="00BC7DBD" w:rsidP="001E558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  <w:vAlign w:val="center"/>
          </w:tcPr>
          <w:p w:rsidR="00BC7DBD" w:rsidRPr="009A1955" w:rsidRDefault="00BC7DBD" w:rsidP="002056CB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20-ից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3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0 օրացու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softHyphen/>
              <w:t>ցային օրվա ընթացքում, բայց ոչ ուշ քան 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  <w:r w:rsidRPr="00D20B4B">
              <w:rPr>
                <w:rFonts w:ascii="Times New Roman" w:hAnsi="Times New Roman"/>
                <w:sz w:val="16"/>
                <w:szCs w:val="24"/>
                <w:lang w:val="hy-AM"/>
              </w:rPr>
              <w:t>.</w:t>
            </w:r>
            <w:r w:rsidRPr="00D20B4B"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  <w:r w:rsidRPr="009A1955">
              <w:rPr>
                <w:rFonts w:ascii="Cambria Math" w:hAnsi="Cambria Math" w:cs="Cambria Math"/>
                <w:sz w:val="16"/>
                <w:szCs w:val="24"/>
                <w:lang w:val="hy-AM"/>
              </w:rPr>
              <w:t>․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</w:tr>
      <w:tr w:rsidR="00BC7DBD" w:rsidRPr="00BC7DBD" w:rsidTr="00BC7DBD">
        <w:trPr>
          <w:trHeight w:val="597"/>
        </w:trPr>
        <w:tc>
          <w:tcPr>
            <w:tcW w:w="1560" w:type="dxa"/>
            <w:vAlign w:val="center"/>
          </w:tcPr>
          <w:p w:rsidR="00BC7DBD" w:rsidRPr="00B14379" w:rsidRDefault="00BC7DBD" w:rsidP="00B14379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842" w:type="dxa"/>
            <w:vAlign w:val="center"/>
          </w:tcPr>
          <w:p w:rsidR="00BC7DBD" w:rsidRPr="00D551ED" w:rsidRDefault="00BC7DBD" w:rsidP="009D64B3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39121100</w:t>
            </w:r>
            <w:r>
              <w:rPr>
                <w:rFonts w:ascii="GHEA Grapalat" w:hAnsi="GHEA Grapalat"/>
                <w:sz w:val="16"/>
                <w:szCs w:val="24"/>
              </w:rPr>
              <w:t>/3</w:t>
            </w:r>
          </w:p>
        </w:tc>
        <w:tc>
          <w:tcPr>
            <w:tcW w:w="1276" w:type="dxa"/>
            <w:vAlign w:val="center"/>
          </w:tcPr>
          <w:p w:rsidR="00BC7DBD" w:rsidRPr="008062D0" w:rsidRDefault="00BC7DBD" w:rsidP="00153543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Ամսագրային սեղան</w:t>
            </w:r>
          </w:p>
        </w:tc>
        <w:tc>
          <w:tcPr>
            <w:tcW w:w="3402" w:type="dxa"/>
            <w:vAlign w:val="center"/>
          </w:tcPr>
          <w:p w:rsidR="00BC7DBD" w:rsidRDefault="00BC7DBD" w:rsidP="001468C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>մսագրային սեղան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կարկասը՝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 xml:space="preserve"> մետաղ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յա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 xml:space="preserve"> չժագոտվող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, գույնը՝ սև, արտաքինը 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>ապակ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յա՝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 xml:space="preserve"> թրծված 10մմ հաստությունով,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գույնը՝ սև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  <w:r w:rsidRPr="005C54C4">
              <w:rPr>
                <w:rFonts w:ascii="Sylfaen" w:hAnsi="Sylfaen"/>
                <w:sz w:val="16"/>
                <w:szCs w:val="16"/>
                <w:lang w:val="hy-AM"/>
              </w:rPr>
              <w:t xml:space="preserve"> Չափսերը՝ բարձրություն-4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</w:t>
            </w:r>
            <w:r w:rsidRPr="005C54C4">
              <w:rPr>
                <w:rFonts w:ascii="Sylfaen" w:hAnsi="Sylfaen"/>
                <w:sz w:val="16"/>
                <w:szCs w:val="16"/>
                <w:lang w:val="hy-AM"/>
              </w:rPr>
              <w:t xml:space="preserve"> սմ, լայնություն-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60</w:t>
            </w:r>
            <w:r w:rsidRPr="005C54C4">
              <w:rPr>
                <w:rFonts w:ascii="Sylfaen" w:hAnsi="Sylfaen"/>
                <w:sz w:val="16"/>
                <w:szCs w:val="16"/>
                <w:lang w:val="hy-AM"/>
              </w:rPr>
              <w:t xml:space="preserve"> սմ,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երկարությունը</w:t>
            </w:r>
            <w:r w:rsidRPr="005C54C4">
              <w:rPr>
                <w:rFonts w:ascii="Sylfaen" w:hAnsi="Sylfaen"/>
                <w:sz w:val="16"/>
                <w:szCs w:val="16"/>
                <w:lang w:val="hy-AM"/>
              </w:rPr>
              <w:t>-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  <w:r w:rsidRPr="005C54C4">
              <w:rPr>
                <w:rFonts w:ascii="Sylfaen" w:hAnsi="Sylfaen"/>
                <w:sz w:val="16"/>
                <w:szCs w:val="16"/>
                <w:lang w:val="hy-AM"/>
              </w:rPr>
              <w:t xml:space="preserve"> սմ։</w:t>
            </w:r>
          </w:p>
          <w:p w:rsidR="00BC7DBD" w:rsidRDefault="00BC7DBD" w:rsidP="0090390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Ապրանքը պետք է լինի լիովին նոր։ Թույլատրելի շեղումը՝ ±1</w:t>
            </w:r>
            <w:r w:rsidRPr="00646AE3">
              <w:rPr>
                <w:rFonts w:ascii="Sylfaen" w:hAnsi="Sylfaen"/>
                <w:sz w:val="16"/>
                <w:szCs w:val="16"/>
                <w:lang w:val="hy-AM"/>
              </w:rPr>
              <w:t xml:space="preserve">%: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ապրանքի տեսքը, չափերը և գույը համաձայնեցնել պատվիրատուի հետ։ Փաթեթը ներառում է՝ 1 տարի երաշխիք, կահույքի տեղափոխումն ու տեղադրումը համապատասխան սենյակներ։</w:t>
            </w:r>
          </w:p>
          <w:p w:rsidR="00BC7DBD" w:rsidRDefault="00BC7DBD" w:rsidP="001468C7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Կից նկար՝</w:t>
            </w:r>
          </w:p>
          <w:p w:rsidR="00BC7DBD" w:rsidRPr="001468C7" w:rsidRDefault="00BC7DBD" w:rsidP="001468C7">
            <w:pPr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866D55">
              <w:rPr>
                <w:rFonts w:ascii="Sylfaen" w:hAnsi="Sylfaen"/>
                <w:sz w:val="2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lastRenderedPageBreak/>
              <w:drawing>
                <wp:inline distT="0" distB="0" distL="0" distR="0" wp14:anchorId="1FDBFEC1" wp14:editId="55C90881">
                  <wp:extent cx="2023110" cy="12115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Տաբլե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BC7DBD" w:rsidRPr="00B1437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1437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BC7DBD" w:rsidRPr="00B1437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BC7DBD" w:rsidRPr="009A1955" w:rsidRDefault="00BC7DBD" w:rsidP="00683CF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  <w:vAlign w:val="center"/>
          </w:tcPr>
          <w:p w:rsidR="00BC7DBD" w:rsidRPr="009A1955" w:rsidRDefault="00BC7DBD" w:rsidP="00245EA3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20-ից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3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0 օրացու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softHyphen/>
              <w:t>ցային օրվա ընթացքում, բայց ոչ ուշ քան 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  <w:r w:rsidRPr="00D20B4B">
              <w:rPr>
                <w:rFonts w:ascii="Times New Roman" w:hAnsi="Times New Roman"/>
                <w:sz w:val="16"/>
                <w:szCs w:val="24"/>
                <w:lang w:val="hy-AM"/>
              </w:rPr>
              <w:t>.</w:t>
            </w:r>
            <w:r w:rsidRPr="00D20B4B"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  <w:r w:rsidRPr="009A1955">
              <w:rPr>
                <w:rFonts w:ascii="Cambria Math" w:hAnsi="Cambria Math" w:cs="Cambria Math"/>
                <w:sz w:val="16"/>
                <w:szCs w:val="24"/>
                <w:lang w:val="hy-AM"/>
              </w:rPr>
              <w:t>․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</w:tr>
      <w:tr w:rsidR="00BC7DBD" w:rsidRPr="00BC7DBD" w:rsidTr="00BC7DBD">
        <w:trPr>
          <w:trHeight w:val="597"/>
        </w:trPr>
        <w:tc>
          <w:tcPr>
            <w:tcW w:w="1560" w:type="dxa"/>
            <w:vAlign w:val="center"/>
          </w:tcPr>
          <w:p w:rsidR="00BC7DBD" w:rsidRPr="00B14379" w:rsidRDefault="00BC7DBD" w:rsidP="00B14379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</w:p>
        </w:tc>
        <w:tc>
          <w:tcPr>
            <w:tcW w:w="1842" w:type="dxa"/>
            <w:vAlign w:val="center"/>
          </w:tcPr>
          <w:p w:rsidR="00BC7DBD" w:rsidRPr="00D551ED" w:rsidRDefault="00BC7DBD" w:rsidP="00926369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391111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8</w:t>
            </w:r>
            <w:r w:rsidRPr="00F313C5">
              <w:rPr>
                <w:rFonts w:ascii="GHEA Grapalat" w:hAnsi="GHEA Grapalat"/>
                <w:sz w:val="16"/>
                <w:szCs w:val="24"/>
              </w:rPr>
              <w:t>0</w:t>
            </w:r>
            <w:r>
              <w:rPr>
                <w:rFonts w:ascii="GHEA Grapalat" w:hAnsi="GHEA Grapalat"/>
                <w:sz w:val="16"/>
                <w:szCs w:val="24"/>
              </w:rPr>
              <w:t>/13</w:t>
            </w:r>
          </w:p>
        </w:tc>
        <w:tc>
          <w:tcPr>
            <w:tcW w:w="1276" w:type="dxa"/>
            <w:vAlign w:val="center"/>
          </w:tcPr>
          <w:p w:rsidR="00BC7DBD" w:rsidRPr="00B14379" w:rsidRDefault="00BC7DBD" w:rsidP="00BF58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Գրասենյակային աթոռ</w:t>
            </w:r>
          </w:p>
        </w:tc>
        <w:tc>
          <w:tcPr>
            <w:tcW w:w="3402" w:type="dxa"/>
            <w:vAlign w:val="center"/>
          </w:tcPr>
          <w:p w:rsidR="00BC7DBD" w:rsidRDefault="00BC7DBD" w:rsidP="00BF58A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Գրասենյակային հենակով աթոռ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  <w:r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Cambria Math" w:hAnsi="Cambria Math" w:cs="Cambria Math"/>
                <w:sz w:val="16"/>
                <w:szCs w:val="16"/>
                <w:lang w:val="hy-AM"/>
              </w:rPr>
              <w:t>կարկասը՝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 xml:space="preserve"> մետաղ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յա</w:t>
            </w:r>
            <w:r w:rsidRPr="001468C7">
              <w:rPr>
                <w:rFonts w:ascii="Sylfaen" w:hAnsi="Sylfaen"/>
                <w:sz w:val="16"/>
                <w:szCs w:val="16"/>
                <w:lang w:val="hy-AM"/>
              </w:rPr>
              <w:t xml:space="preserve"> չժագոտվող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, գույնը՝ արծաթագույն,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բարձրությունը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թիկնակի մասից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/>
                <w:sz w:val="16"/>
                <w:szCs w:val="16"/>
              </w:rPr>
              <w:t>16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մ, լայնությունը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դիմացից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>
              <w:rPr>
                <w:rFonts w:ascii="Sylfaen" w:hAnsi="Sylfaen"/>
                <w:sz w:val="16"/>
                <w:szCs w:val="16"/>
              </w:rPr>
              <w:t>4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մ, լայնությունը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թիկնակի մասից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>
              <w:rPr>
                <w:rFonts w:ascii="Sylfaen" w:hAnsi="Sylfaen"/>
                <w:sz w:val="16"/>
                <w:szCs w:val="16"/>
              </w:rPr>
              <w:t>0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մ,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նստատեղի լայնություն և 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երկարությունը՝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50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ս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մ  (կտորը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՝ սև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>, ներդիր՝ սպունգ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առնվազն 80մմ</w:t>
            </w:r>
            <w:r w:rsidRPr="00C24474">
              <w:rPr>
                <w:rFonts w:ascii="Sylfaen" w:hAnsi="Sylfaen"/>
                <w:sz w:val="16"/>
                <w:szCs w:val="16"/>
                <w:lang w:val="hy-AM"/>
              </w:rPr>
              <w:t xml:space="preserve">)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թիկնակը՝ ցանցային կտորից, նստատեղի բարձրությունը հատակից՝ 43 սմ, հատակից հենակի բարձրությունը՝ 65 սմ։ Այլ մանրամասները ըստ կից նկարի։ Ապրանքը պետք է լինի լիովին նոր։ Թույլատրելի շեղումը՝ ±1</w:t>
            </w:r>
            <w:r w:rsidRPr="00646AE3">
              <w:rPr>
                <w:rFonts w:ascii="Sylfaen" w:hAnsi="Sylfaen"/>
                <w:sz w:val="16"/>
                <w:szCs w:val="16"/>
                <w:lang w:val="hy-AM"/>
              </w:rPr>
              <w:t xml:space="preserve">%: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Մատակարարումից առաջ ապրանքի տեսքը, չափերը և գույը համաձայնեցնել պատվիրատուի հետ։ Փաթեթը ներառում է՝ 1 տարի երաշխիք, կահույքի տեղափոխումն ու տեղադրումը համապատասխան սենյակներ։</w:t>
            </w:r>
          </w:p>
          <w:p w:rsidR="00BC7DBD" w:rsidRDefault="00BC7DBD" w:rsidP="00BF58A5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Կից նկար՝</w:t>
            </w:r>
          </w:p>
          <w:p w:rsidR="00BC7DBD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1C582744" wp14:editId="7CE70C7A">
                  <wp:extent cx="2023110" cy="271335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or-chaperov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271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7DBD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</w:p>
          <w:p w:rsidR="00BC7DBD" w:rsidRPr="00ED1E42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6D6AE0A" wp14:editId="34DF8A14">
                  <wp:extent cx="1843431" cy="2784819"/>
                  <wp:effectExtent l="0" t="0" r="444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or 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527" cy="278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BC7DBD" w:rsidRPr="00B1437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B14379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BC7DBD" w:rsidRPr="00926369" w:rsidRDefault="00BC7DBD" w:rsidP="00E3644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276" w:type="dxa"/>
            <w:vAlign w:val="center"/>
          </w:tcPr>
          <w:p w:rsidR="00BC7DBD" w:rsidRPr="009A1955" w:rsidRDefault="00BC7DBD" w:rsidP="00BF58A5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  <w:vAlign w:val="center"/>
          </w:tcPr>
          <w:p w:rsidR="00BC7DBD" w:rsidRPr="009A1955" w:rsidRDefault="00BC7DBD" w:rsidP="006604DA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 xml:space="preserve">Պայմանագրի կնքման օրվանից հաշված 20-ից 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3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0 օրացու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softHyphen/>
              <w:t>ցային օրվա ընթացքում, բայց ոչ ուշ քան 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5</w:t>
            </w:r>
            <w:r w:rsidRPr="00D20B4B">
              <w:rPr>
                <w:rFonts w:ascii="Times New Roman" w:hAnsi="Times New Roman"/>
                <w:sz w:val="16"/>
                <w:szCs w:val="24"/>
                <w:lang w:val="hy-AM"/>
              </w:rPr>
              <w:t>.</w:t>
            </w:r>
            <w:r w:rsidRPr="00D20B4B">
              <w:rPr>
                <w:rFonts w:ascii="Sylfaen" w:hAnsi="Sylfaen" w:cs="Arial"/>
                <w:sz w:val="16"/>
                <w:szCs w:val="24"/>
                <w:lang w:val="hy-AM"/>
              </w:rPr>
              <w:t>10</w:t>
            </w:r>
            <w:r w:rsidRPr="009A1955">
              <w:rPr>
                <w:rFonts w:ascii="Cambria Math" w:hAnsi="Cambria Math" w:cs="Cambria Math"/>
                <w:sz w:val="16"/>
                <w:szCs w:val="24"/>
                <w:lang w:val="hy-AM"/>
              </w:rPr>
              <w:t>․</w:t>
            </w:r>
            <w:r w:rsidRPr="009A1955">
              <w:rPr>
                <w:rFonts w:ascii="Sylfaen" w:hAnsi="Sylfaen" w:cs="Arial"/>
                <w:sz w:val="16"/>
                <w:szCs w:val="24"/>
                <w:lang w:val="hy-AM"/>
              </w:rPr>
              <w:t>2</w:t>
            </w:r>
            <w:r>
              <w:rPr>
                <w:rFonts w:ascii="Sylfaen" w:hAnsi="Sylfaen" w:cs="Arial"/>
                <w:sz w:val="16"/>
                <w:szCs w:val="24"/>
                <w:lang w:val="hy-AM"/>
              </w:rPr>
              <w:t>4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BC7DBD" w:rsidRDefault="00BC7DBD" w:rsidP="00B23154">
      <w:pPr>
        <w:jc w:val="center"/>
        <w:rPr>
          <w:rFonts w:ascii="Sylfaen" w:hAnsi="Sylfaen"/>
          <w:lang w:val="hy-AM"/>
        </w:rPr>
      </w:pPr>
    </w:p>
    <w:p w:rsidR="001335A6" w:rsidRPr="009A1955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9A1955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="006E7152" w:rsidRPr="009A1955">
        <w:rPr>
          <w:rFonts w:ascii="GHEA Grapalat" w:hAnsi="GHEA Grapalat" w:cs="Arial" w:hint="eastAsia"/>
          <w:b/>
          <w:szCs w:val="24"/>
          <w:lang w:val="pt-BR"/>
        </w:rPr>
        <w:t>КАНЦЕЛЯРСК</w:t>
      </w:r>
      <w:r w:rsidR="006E7152" w:rsidRPr="009A1955">
        <w:rPr>
          <w:rFonts w:ascii="GHEA Grapalat" w:hAnsi="GHEA Grapalat" w:cs="Arial"/>
          <w:b/>
          <w:szCs w:val="24"/>
          <w:lang w:val="ru-RU"/>
        </w:rPr>
        <w:t xml:space="preserve">ОЙ МЕБЕЛИ </w:t>
      </w:r>
      <w:r w:rsidRPr="009A1955">
        <w:rPr>
          <w:rFonts w:ascii="GHEA Grapalat" w:hAnsi="GHEA Grapalat" w:cs="Arial"/>
          <w:b/>
          <w:szCs w:val="24"/>
          <w:lang w:val="pt-BR"/>
        </w:rPr>
        <w:t>ДЛЯ НУЖД ФОНДА “ЕГУ”</w:t>
      </w:r>
    </w:p>
    <w:p w:rsidR="001335A6" w:rsidRPr="00463FA4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9A1955">
        <w:rPr>
          <w:rFonts w:ascii="GHEA Grapalat" w:hAnsi="GHEA Grapalat" w:cs="Arial"/>
          <w:b/>
          <w:szCs w:val="24"/>
          <w:lang w:val="pt-BR"/>
        </w:rPr>
        <w:t>ТЕХНИЧЕСКАЯ ХАРАКТЕРИСТИКА - ГРАФИК ЗАКУПКИ</w:t>
      </w:r>
    </w:p>
    <w:tbl>
      <w:tblPr>
        <w:tblW w:w="13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1595"/>
        <w:gridCol w:w="1538"/>
        <w:gridCol w:w="3402"/>
        <w:gridCol w:w="1023"/>
        <w:gridCol w:w="882"/>
        <w:gridCol w:w="1353"/>
        <w:gridCol w:w="1645"/>
        <w:gridCol w:w="19"/>
      </w:tblGrid>
      <w:tr w:rsidR="0097431B" w:rsidRPr="00646AE3" w:rsidTr="00BC7DBD">
        <w:trPr>
          <w:gridAfter w:val="1"/>
          <w:wAfter w:w="19" w:type="dxa"/>
          <w:trHeight w:val="242"/>
          <w:jc w:val="center"/>
        </w:trPr>
        <w:tc>
          <w:tcPr>
            <w:tcW w:w="13123" w:type="dxa"/>
            <w:gridSpan w:val="8"/>
          </w:tcPr>
          <w:p w:rsidR="0097431B" w:rsidRPr="00646AE3" w:rsidRDefault="0097431B" w:rsidP="00153543">
            <w:pPr>
              <w:jc w:val="center"/>
              <w:rPr>
                <w:rFonts w:ascii="Times New Roman" w:hAnsi="Times New Roman"/>
                <w:szCs w:val="24"/>
                <w:lang w:bidi="ru-RU"/>
              </w:rPr>
            </w:pPr>
            <w:r w:rsidRPr="00646AE3">
              <w:rPr>
                <w:rFonts w:ascii="Times New Roman" w:hAnsi="Times New Roman"/>
                <w:szCs w:val="24"/>
                <w:lang w:bidi="ru-RU"/>
              </w:rPr>
              <w:t>Товар</w:t>
            </w:r>
          </w:p>
        </w:tc>
      </w:tr>
      <w:tr w:rsidR="00BC7DBD" w:rsidRPr="00646AE3" w:rsidTr="00BC7DBD">
        <w:trPr>
          <w:trHeight w:val="247"/>
          <w:jc w:val="center"/>
        </w:trPr>
        <w:tc>
          <w:tcPr>
            <w:tcW w:w="1685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595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>
              <w:rPr>
                <w:rFonts w:ascii="Times New Roman" w:hAnsi="Times New Roman"/>
                <w:sz w:val="18"/>
                <w:szCs w:val="24"/>
                <w:lang w:val="pt-BR"/>
              </w:rPr>
              <w:t xml:space="preserve">промежуточный код, </w:t>
            </w: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предусмот</w:t>
            </w:r>
            <w:r>
              <w:rPr>
                <w:rFonts w:ascii="Times New Roman" w:hAnsi="Times New Roman"/>
                <w:sz w:val="18"/>
                <w:szCs w:val="24"/>
                <w:lang w:val="pt-BR"/>
              </w:rPr>
              <w:softHyphen/>
            </w: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ренный планом</w:t>
            </w:r>
          </w:p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закупок по классификации</w:t>
            </w:r>
          </w:p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538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ru-RU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402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техни</w:t>
            </w:r>
            <w:r w:rsidRPr="00646AE3">
              <w:rPr>
                <w:rFonts w:ascii="Times New Roman" w:hAnsi="Times New Roman"/>
                <w:sz w:val="18"/>
                <w:szCs w:val="24"/>
              </w:rPr>
              <w:t>че</w:t>
            </w: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23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882" w:type="dxa"/>
            <w:vMerge w:val="restart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017" w:type="dxa"/>
            <w:gridSpan w:val="3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BC7DBD" w:rsidRPr="00646AE3" w:rsidTr="00BC7DBD">
        <w:trPr>
          <w:trHeight w:val="985"/>
          <w:jc w:val="center"/>
        </w:trPr>
        <w:tc>
          <w:tcPr>
            <w:tcW w:w="1685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1595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1538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3402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1023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882" w:type="dxa"/>
            <w:vMerge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</w:p>
        </w:tc>
        <w:tc>
          <w:tcPr>
            <w:tcW w:w="1353" w:type="dxa"/>
            <w:vAlign w:val="center"/>
          </w:tcPr>
          <w:p w:rsidR="00BC7DBD" w:rsidRPr="00646AE3" w:rsidRDefault="00BC7DBD" w:rsidP="001335A6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664" w:type="dxa"/>
            <w:gridSpan w:val="2"/>
            <w:vAlign w:val="center"/>
          </w:tcPr>
          <w:p w:rsidR="00BC7DBD" w:rsidRPr="00646AE3" w:rsidRDefault="00BC7DBD" w:rsidP="009A1955">
            <w:pPr>
              <w:jc w:val="center"/>
              <w:rPr>
                <w:rFonts w:ascii="Times New Roman" w:hAnsi="Times New Roman"/>
                <w:sz w:val="18"/>
                <w:szCs w:val="24"/>
                <w:lang w:val="pt-BR"/>
              </w:rPr>
            </w:pPr>
            <w:r w:rsidRPr="00646AE3">
              <w:rPr>
                <w:rFonts w:ascii="Times New Roman" w:hAnsi="Times New Roman"/>
                <w:sz w:val="18"/>
                <w:szCs w:val="24"/>
                <w:lang w:val="pt-BR"/>
              </w:rPr>
              <w:t>срок</w:t>
            </w:r>
          </w:p>
        </w:tc>
      </w:tr>
      <w:tr w:rsidR="00BC7DBD" w:rsidRPr="00BC7DBD" w:rsidTr="00BC7DBD">
        <w:trPr>
          <w:trHeight w:val="70"/>
          <w:jc w:val="center"/>
        </w:trPr>
        <w:tc>
          <w:tcPr>
            <w:tcW w:w="1685" w:type="dxa"/>
            <w:vAlign w:val="center"/>
          </w:tcPr>
          <w:p w:rsidR="00BC7DBD" w:rsidRPr="00FC14D8" w:rsidRDefault="00BC7DBD" w:rsidP="00F313C5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595" w:type="dxa"/>
            <w:vAlign w:val="center"/>
          </w:tcPr>
          <w:p w:rsidR="00BC7DBD" w:rsidRPr="00D551ED" w:rsidRDefault="00BC7DBD" w:rsidP="00F313C5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39111190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</w:p>
        </w:tc>
        <w:tc>
          <w:tcPr>
            <w:tcW w:w="1538" w:type="dxa"/>
            <w:vAlign w:val="center"/>
          </w:tcPr>
          <w:p w:rsidR="00BC7DBD" w:rsidRPr="00FC14D8" w:rsidRDefault="00BC7DBD" w:rsidP="00F313C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Кресло</w:t>
            </w:r>
          </w:p>
        </w:tc>
        <w:tc>
          <w:tcPr>
            <w:tcW w:w="3402" w:type="dxa"/>
            <w:vAlign w:val="center"/>
          </w:tcPr>
          <w:p w:rsidR="00BC7DBD" w:rsidRPr="006943A5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Тканевый </w:t>
            </w: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Кресло</w:t>
            </w: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880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ширина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800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Длина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750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(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ткань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Buldi</w:t>
            </w:r>
            <w:r w:rsidRPr="0091521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Nobuk</w:t>
            </w:r>
            <w:r w:rsidRPr="00915214">
              <w:rPr>
                <w:rFonts w:ascii="Sylfaen" w:hAnsi="Sylfaen"/>
                <w:sz w:val="16"/>
                <w:szCs w:val="16"/>
                <w:lang w:val="ru-RU"/>
              </w:rPr>
              <w:t xml:space="preserve"> 906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вставка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из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губки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менее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40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)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сделайте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ткани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соединительные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стежки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центру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соответствии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прилагаемым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рисунком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ширина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сиденья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500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длина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540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Толщина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сиденья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менее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160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губка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полом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430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полом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120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ножки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деревянные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черного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цвета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>.</w:t>
            </w:r>
          </w:p>
          <w:p w:rsidR="00BC7DBD" w:rsidRPr="00FC14D8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Продукт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должен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быть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совершенно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новым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Допустимое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отклонение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±1%.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перед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поставкой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согласуйте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внешний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вид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размеры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цвет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товара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заказчиком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пакет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входит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гарантия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1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год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перевозка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установка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мебели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соответствующие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комнаты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>.</w:t>
            </w:r>
          </w:p>
          <w:p w:rsidR="00BC7DBD" w:rsidRPr="00FC14D8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Прилагаем</w:t>
            </w: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ый рисунок:</w:t>
            </w:r>
          </w:p>
          <w:p w:rsidR="00BC7DBD" w:rsidRPr="00FC14D8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2560A321" wp14:editId="075EEA54">
                  <wp:extent cx="2023110" cy="17367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Բազմոց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82" w:type="dxa"/>
            <w:vAlign w:val="center"/>
          </w:tcPr>
          <w:p w:rsidR="00BC7DBD" w:rsidRPr="00B13A4B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35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>Г. Ереван, Ал. Манукян 1</w:t>
            </w:r>
          </w:p>
        </w:tc>
        <w:tc>
          <w:tcPr>
            <w:tcW w:w="1664" w:type="dxa"/>
            <w:gridSpan w:val="2"/>
            <w:vAlign w:val="center"/>
          </w:tcPr>
          <w:p w:rsidR="00BC7DBD" w:rsidRPr="00FC14D8" w:rsidRDefault="00BC7DBD" w:rsidP="00A6511E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По истечении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от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20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до 30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календарных дней со дня заключения договора, но не позднее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чем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25.</w:t>
            </w:r>
            <w:r>
              <w:rPr>
                <w:rFonts w:ascii="Times New Roman" w:hAnsi="Times New Roman"/>
                <w:sz w:val="18"/>
                <w:szCs w:val="18"/>
                <w:lang w:val="pt-BR"/>
              </w:rPr>
              <w:t>10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.2024г.</w:t>
            </w:r>
          </w:p>
        </w:tc>
      </w:tr>
      <w:tr w:rsidR="00BC7DBD" w:rsidRPr="00BC7DBD" w:rsidTr="00BC7DBD">
        <w:trPr>
          <w:trHeight w:val="70"/>
          <w:jc w:val="center"/>
        </w:trPr>
        <w:tc>
          <w:tcPr>
            <w:tcW w:w="1685" w:type="dxa"/>
            <w:vAlign w:val="center"/>
          </w:tcPr>
          <w:p w:rsidR="00BC7DBD" w:rsidRPr="00FC14D8" w:rsidRDefault="00BC7DBD" w:rsidP="00F313C5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595" w:type="dxa"/>
            <w:vAlign w:val="center"/>
          </w:tcPr>
          <w:p w:rsidR="00BC7DBD" w:rsidRPr="00D551ED" w:rsidRDefault="00BC7DBD" w:rsidP="00F313C5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39111190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</w:p>
        </w:tc>
        <w:tc>
          <w:tcPr>
            <w:tcW w:w="1538" w:type="dxa"/>
            <w:vAlign w:val="center"/>
          </w:tcPr>
          <w:p w:rsidR="00BC7DBD" w:rsidRPr="00FC14D8" w:rsidRDefault="00BC7DBD" w:rsidP="00F313C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Кресло</w:t>
            </w:r>
          </w:p>
        </w:tc>
        <w:tc>
          <w:tcPr>
            <w:tcW w:w="3402" w:type="dxa"/>
            <w:vAlign w:val="center"/>
          </w:tcPr>
          <w:p w:rsidR="00BC7DBD" w:rsidRPr="006943A5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Тканевый </w:t>
            </w: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Кресло</w:t>
            </w: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880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ширина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800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Длина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750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(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ткань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Buldi</w:t>
            </w:r>
            <w:r w:rsidRPr="00915214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Papermoon</w:t>
            </w:r>
            <w:r w:rsidRPr="00915214">
              <w:rPr>
                <w:rFonts w:ascii="Sylfaen" w:hAnsi="Sylfaen"/>
                <w:sz w:val="16"/>
                <w:szCs w:val="16"/>
                <w:lang w:val="ru-RU"/>
              </w:rPr>
              <w:t xml:space="preserve"> 035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вставка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из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губки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менее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40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)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сделайте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ткани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соединительные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стежки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центру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соответствии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прилагаемым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lastRenderedPageBreak/>
              <w:t>рисунком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ширина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сиденья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500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длина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540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Толщина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сиденья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менее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160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губка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полом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430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Высота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над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полом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120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ножки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деревянные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черного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цвета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>.</w:t>
            </w:r>
          </w:p>
          <w:p w:rsidR="00BC7DBD" w:rsidRPr="00FC14D8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Продукт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должен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быть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совершенно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новым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Допустимое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отклонение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±1%.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перед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поставкой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согласуйте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внешний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вид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размеры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цвет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товара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заказчиком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.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пакет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входит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: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гарантия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1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год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,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перевозка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установка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мебели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в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соответствующие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 </w:t>
            </w:r>
            <w:r w:rsidRPr="006943A5">
              <w:rPr>
                <w:rFonts w:ascii="Times New Roman" w:hAnsi="Times New Roman" w:hint="eastAsia"/>
                <w:sz w:val="16"/>
                <w:szCs w:val="16"/>
                <w:lang w:val="hy-AM"/>
              </w:rPr>
              <w:t>комнаты</w:t>
            </w:r>
            <w:r w:rsidRPr="006943A5">
              <w:rPr>
                <w:rFonts w:ascii="Times New Roman" w:hAnsi="Times New Roman"/>
                <w:sz w:val="16"/>
                <w:szCs w:val="16"/>
                <w:lang w:val="hy-AM"/>
              </w:rPr>
              <w:t>.</w:t>
            </w:r>
          </w:p>
          <w:p w:rsidR="00BC7DBD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Прилагаем</w:t>
            </w: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ый рисунок:</w:t>
            </w:r>
          </w:p>
          <w:p w:rsidR="00BC7DBD" w:rsidRPr="00FC14D8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BC7DBD" w:rsidRPr="00FC14D8" w:rsidRDefault="00BC7DBD" w:rsidP="00F313C5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5F505AFA" wp14:editId="28BF0715">
                  <wp:extent cx="2023110" cy="17367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Բազմոց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882" w:type="dxa"/>
            <w:vAlign w:val="center"/>
          </w:tcPr>
          <w:p w:rsidR="00BC7DBD" w:rsidRPr="00B13A4B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135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>Г. Ереван, Ал. Манукян 1</w:t>
            </w:r>
          </w:p>
        </w:tc>
        <w:tc>
          <w:tcPr>
            <w:tcW w:w="1664" w:type="dxa"/>
            <w:gridSpan w:val="2"/>
            <w:vAlign w:val="center"/>
          </w:tcPr>
          <w:p w:rsidR="00BC7DBD" w:rsidRPr="00FC14D8" w:rsidRDefault="00BC7DBD" w:rsidP="0016736D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По истечении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от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20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до 30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календарных дней со дня заключения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 xml:space="preserve">договора, но не позднее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чем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25.</w:t>
            </w:r>
            <w:r>
              <w:rPr>
                <w:rFonts w:ascii="Times New Roman" w:hAnsi="Times New Roman"/>
                <w:sz w:val="18"/>
                <w:szCs w:val="18"/>
                <w:lang w:val="pt-BR"/>
              </w:rPr>
              <w:t>10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.2024г.</w:t>
            </w:r>
          </w:p>
        </w:tc>
      </w:tr>
      <w:tr w:rsidR="00BC7DBD" w:rsidRPr="00BC7DBD" w:rsidTr="00BC7DBD">
        <w:trPr>
          <w:trHeight w:val="70"/>
          <w:jc w:val="center"/>
        </w:trPr>
        <w:tc>
          <w:tcPr>
            <w:tcW w:w="1685" w:type="dxa"/>
            <w:vAlign w:val="center"/>
          </w:tcPr>
          <w:p w:rsidR="00BC7DBD" w:rsidRPr="00FC14D8" w:rsidRDefault="00BC7DBD" w:rsidP="00F313C5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595" w:type="dxa"/>
            <w:vAlign w:val="center"/>
          </w:tcPr>
          <w:p w:rsidR="00BC7DBD" w:rsidRPr="00D551ED" w:rsidRDefault="00BC7DBD" w:rsidP="00F313C5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39121100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</w:p>
        </w:tc>
        <w:tc>
          <w:tcPr>
            <w:tcW w:w="1538" w:type="dxa"/>
            <w:vAlign w:val="center"/>
          </w:tcPr>
          <w:p w:rsidR="00BC7DBD" w:rsidRPr="00FC14D8" w:rsidRDefault="00BC7DBD" w:rsidP="00F313C5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Журнальный столик</w:t>
            </w:r>
          </w:p>
        </w:tc>
        <w:tc>
          <w:tcPr>
            <w:tcW w:w="3402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Журнальный столик: каркас: металлический, не ржавеющий, цвет: черный, внешний вид: стекло, закаленное толщиной 10 мм, Цвет: черный. размеры: высота-40 см, ширина-60 см, длина-100 см..</w:t>
            </w:r>
          </w:p>
          <w:p w:rsidR="00BC7DBD" w:rsidRPr="00FC14D8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Продукт должен быть совершенно новым. Допустимое отклонение: ±1%. перед поставкой согласуйте внешний вид, размеры и цвет товара с заказчиком. В пакет входит: гарантия 1 год, перевозка и установка мебели в соответствующие комнаты.</w:t>
            </w:r>
          </w:p>
          <w:p w:rsidR="00BC7DBD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Прилагаем</w:t>
            </w: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ый рисунок:</w:t>
            </w:r>
          </w:p>
          <w:p w:rsidR="00BC7DBD" w:rsidRPr="00FC14D8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  <w:p w:rsidR="00BC7DBD" w:rsidRDefault="00BC7DBD" w:rsidP="00F313C5">
            <w:pPr>
              <w:jc w:val="both"/>
              <w:rPr>
                <w:rFonts w:ascii="Times New Roman" w:hAnsi="Times New Roman"/>
                <w:sz w:val="2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2"/>
                <w:szCs w:val="16"/>
                <w:lang w:val="hy-AM"/>
              </w:rPr>
              <w:t xml:space="preserve"> </w:t>
            </w:r>
            <w:r w:rsidRPr="00FC14D8">
              <w:rPr>
                <w:rFonts w:ascii="Times New Roman" w:hAnsi="Times New Roma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37F7770" wp14:editId="0C15D01E">
                  <wp:extent cx="2023110" cy="1211580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Տաբլե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3110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7DBD" w:rsidRPr="009C1190" w:rsidRDefault="00BC7DBD" w:rsidP="00F313C5">
            <w:pPr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02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82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hy-AM"/>
              </w:rPr>
              <w:t>1</w:t>
            </w:r>
          </w:p>
        </w:tc>
        <w:tc>
          <w:tcPr>
            <w:tcW w:w="1353" w:type="dxa"/>
            <w:vAlign w:val="center"/>
          </w:tcPr>
          <w:p w:rsidR="00BC7DBD" w:rsidRPr="00FC14D8" w:rsidRDefault="00BC7DBD" w:rsidP="00F313C5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>Г. Ереван, Ал. Манукян 1</w:t>
            </w:r>
          </w:p>
        </w:tc>
        <w:tc>
          <w:tcPr>
            <w:tcW w:w="1664" w:type="dxa"/>
            <w:gridSpan w:val="2"/>
            <w:vAlign w:val="center"/>
          </w:tcPr>
          <w:p w:rsidR="00BC7DBD" w:rsidRPr="00FC14D8" w:rsidRDefault="00BC7DBD" w:rsidP="00B11E62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По истечении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от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20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до 30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календарных дней со дня заключения договора, но не позднее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чем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25.</w:t>
            </w:r>
            <w:r>
              <w:rPr>
                <w:rFonts w:ascii="Times New Roman" w:hAnsi="Times New Roman"/>
                <w:sz w:val="18"/>
                <w:szCs w:val="18"/>
                <w:lang w:val="pt-BR"/>
              </w:rPr>
              <w:t>10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.2024г.</w:t>
            </w:r>
          </w:p>
        </w:tc>
      </w:tr>
      <w:tr w:rsidR="00BC7DBD" w:rsidRPr="00BC7DBD" w:rsidTr="00BC7DBD">
        <w:trPr>
          <w:trHeight w:val="70"/>
          <w:jc w:val="center"/>
        </w:trPr>
        <w:tc>
          <w:tcPr>
            <w:tcW w:w="1685" w:type="dxa"/>
            <w:vAlign w:val="center"/>
          </w:tcPr>
          <w:p w:rsidR="00BC7DBD" w:rsidRPr="00FC14D8" w:rsidRDefault="00BC7DBD" w:rsidP="00F313C5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color w:val="262626" w:themeColor="text1" w:themeTint="D9"/>
                <w:sz w:val="16"/>
                <w:szCs w:val="24"/>
                <w:lang w:val="ru-RU"/>
              </w:rPr>
            </w:pPr>
          </w:p>
        </w:tc>
        <w:tc>
          <w:tcPr>
            <w:tcW w:w="1595" w:type="dxa"/>
            <w:vAlign w:val="center"/>
          </w:tcPr>
          <w:p w:rsidR="00BC7DBD" w:rsidRPr="00D551ED" w:rsidRDefault="00BC7DBD" w:rsidP="00BF58A5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F313C5">
              <w:rPr>
                <w:rFonts w:ascii="GHEA Grapalat" w:hAnsi="GHEA Grapalat"/>
                <w:sz w:val="16"/>
                <w:szCs w:val="24"/>
              </w:rPr>
              <w:t>391111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8</w:t>
            </w:r>
            <w:r w:rsidRPr="00F313C5">
              <w:rPr>
                <w:rFonts w:ascii="GHEA Grapalat" w:hAnsi="GHEA Grapalat"/>
                <w:sz w:val="16"/>
                <w:szCs w:val="24"/>
              </w:rPr>
              <w:t>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</w:p>
        </w:tc>
        <w:tc>
          <w:tcPr>
            <w:tcW w:w="1538" w:type="dxa"/>
            <w:vAlign w:val="center"/>
          </w:tcPr>
          <w:p w:rsidR="00BC7DBD" w:rsidRPr="00B14379" w:rsidRDefault="00BC7DBD" w:rsidP="00BF58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9C1190">
              <w:rPr>
                <w:rFonts w:ascii="Times New Roman" w:hAnsi="Times New Roman"/>
                <w:sz w:val="16"/>
                <w:szCs w:val="16"/>
                <w:lang w:val="hy-AM"/>
              </w:rPr>
              <w:t>Офисной стул с подлокотником</w:t>
            </w:r>
          </w:p>
        </w:tc>
        <w:tc>
          <w:tcPr>
            <w:tcW w:w="3402" w:type="dxa"/>
            <w:vAlign w:val="center"/>
          </w:tcPr>
          <w:p w:rsidR="00BC7DBD" w:rsidRPr="009C1190" w:rsidRDefault="00BC7DBD" w:rsidP="009C1190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9C1190">
              <w:rPr>
                <w:rFonts w:ascii="Times New Roman" w:hAnsi="Times New Roman"/>
                <w:sz w:val="16"/>
                <w:szCs w:val="16"/>
                <w:lang w:val="hy-AM"/>
              </w:rPr>
              <w:t xml:space="preserve">Офисной стул с подлокотником: каркас из металлического нержавеющего материала: серебристого цвета, высота:  116 см, ширина спереди: 54 см, ширина спинки: 50 см, ширина и длина сиденья: 50 см (ткань черная, вставка из губки не менее 80 мм) спинка: 70 </w:t>
            </w:r>
            <w:r w:rsidRPr="009C1190">
              <w:rPr>
                <w:rFonts w:ascii="Times New Roman" w:hAnsi="Times New Roman"/>
                <w:sz w:val="16"/>
                <w:szCs w:val="16"/>
                <w:lang w:val="hy-AM"/>
              </w:rPr>
              <w:lastRenderedPageBreak/>
              <w:t>см- из сетчатой ткани, высота сиденья от пола: 43 см, высота подлокотника от пола: 65 см. Другие детали согласно прилагаемому изображению. Продукт должен быть совершенно новым. Допустимое отклонение: ±1%. перед поставкой согласуйте внешний вид, размеры и цвет продукта с заказчиком. В комплект входит: гарантия 1 год, перемещение и установка мебели в соответствующие комнаты.</w:t>
            </w:r>
          </w:p>
          <w:p w:rsidR="00BC7DBD" w:rsidRPr="009C1190" w:rsidRDefault="00BC7DBD" w:rsidP="009C1190">
            <w:pPr>
              <w:rPr>
                <w:rFonts w:ascii="Times New Roman" w:hAnsi="Times New Roman"/>
                <w:sz w:val="16"/>
                <w:szCs w:val="16"/>
                <w:lang w:val="hy-AM"/>
              </w:rPr>
            </w:pPr>
            <w:r w:rsidRPr="009C1190">
              <w:rPr>
                <w:rFonts w:ascii="Times New Roman" w:hAnsi="Times New Roman"/>
                <w:sz w:val="16"/>
                <w:szCs w:val="16"/>
                <w:lang w:val="hy-AM"/>
              </w:rPr>
              <w:t>Прилагаемое изображение՝</w:t>
            </w:r>
          </w:p>
          <w:p w:rsidR="00BC7DBD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3BDDCCDD" wp14:editId="47091C71">
                  <wp:extent cx="1745118" cy="2340518"/>
                  <wp:effectExtent l="0" t="0" r="762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or-chaperov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918" cy="2344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7DBD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</w:p>
          <w:p w:rsidR="00BC7DBD" w:rsidRPr="00ED1E42" w:rsidRDefault="00BC7DBD" w:rsidP="00BF58A5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noProof/>
                <w:sz w:val="16"/>
                <w:szCs w:val="16"/>
                <w:lang w:eastAsia="en-US"/>
              </w:rPr>
              <w:drawing>
                <wp:inline distT="0" distB="0" distL="0" distR="0" wp14:anchorId="4394F2F1" wp14:editId="4438E3DD">
                  <wp:extent cx="1296537" cy="1958642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or 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593" cy="19587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3" w:type="dxa"/>
            <w:vAlign w:val="center"/>
          </w:tcPr>
          <w:p w:rsidR="00BC7DBD" w:rsidRPr="00FC14D8" w:rsidRDefault="00BC7DBD" w:rsidP="00E612F1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FC14D8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882" w:type="dxa"/>
            <w:vAlign w:val="center"/>
          </w:tcPr>
          <w:p w:rsidR="00BC7DBD" w:rsidRPr="00926369" w:rsidRDefault="00BC7DBD" w:rsidP="00BF58A5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353" w:type="dxa"/>
            <w:vAlign w:val="center"/>
          </w:tcPr>
          <w:p w:rsidR="00BC7DBD" w:rsidRPr="00FC14D8" w:rsidRDefault="00BC7DBD" w:rsidP="00B62587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>Г. Ереван, Ал. Манукян 1</w:t>
            </w:r>
          </w:p>
        </w:tc>
        <w:tc>
          <w:tcPr>
            <w:tcW w:w="1664" w:type="dxa"/>
            <w:gridSpan w:val="2"/>
            <w:vAlign w:val="center"/>
          </w:tcPr>
          <w:p w:rsidR="00BC7DBD" w:rsidRPr="00FC14D8" w:rsidRDefault="00BC7DBD" w:rsidP="002355FF">
            <w:pPr>
              <w:jc w:val="center"/>
              <w:rPr>
                <w:rFonts w:ascii="Times New Roman" w:hAnsi="Times New Roman"/>
                <w:sz w:val="18"/>
                <w:szCs w:val="18"/>
                <w:lang w:val="pt-BR"/>
              </w:rPr>
            </w:pP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По истечении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от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20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до 30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 xml:space="preserve"> календарных дней со дня заключения договора, но не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lastRenderedPageBreak/>
              <w:t xml:space="preserve">позднее </w:t>
            </w:r>
            <w:r w:rsidRPr="00FC14D8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чем 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25.</w:t>
            </w:r>
            <w:r>
              <w:rPr>
                <w:rFonts w:ascii="Times New Roman" w:hAnsi="Times New Roman"/>
                <w:sz w:val="18"/>
                <w:szCs w:val="18"/>
                <w:lang w:val="pt-BR"/>
              </w:rPr>
              <w:t>10</w:t>
            </w:r>
            <w:r w:rsidRPr="00FC14D8">
              <w:rPr>
                <w:rFonts w:ascii="Times New Roman" w:hAnsi="Times New Roman"/>
                <w:sz w:val="18"/>
                <w:szCs w:val="18"/>
                <w:lang w:val="pt-BR"/>
              </w:rPr>
              <w:t>.2024г.</w:t>
            </w: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271166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AC1" w:rsidRDefault="00BF4AC1" w:rsidP="00CD3D45">
      <w:r>
        <w:separator/>
      </w:r>
    </w:p>
  </w:endnote>
  <w:endnote w:type="continuationSeparator" w:id="0">
    <w:p w:rsidR="00BF4AC1" w:rsidRDefault="00BF4AC1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AC1" w:rsidRDefault="00BF4AC1" w:rsidP="00CD3D45">
      <w:r>
        <w:separator/>
      </w:r>
    </w:p>
  </w:footnote>
  <w:footnote w:type="continuationSeparator" w:id="0">
    <w:p w:rsidR="00BF4AC1" w:rsidRDefault="00BF4AC1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1D7"/>
    <w:multiLevelType w:val="hybridMultilevel"/>
    <w:tmpl w:val="DBFE4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1BF0"/>
    <w:multiLevelType w:val="hybridMultilevel"/>
    <w:tmpl w:val="17BC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34E6A"/>
    <w:multiLevelType w:val="hybridMultilevel"/>
    <w:tmpl w:val="DBFE4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44D72FDA"/>
    <w:multiLevelType w:val="hybridMultilevel"/>
    <w:tmpl w:val="E30E2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85991"/>
    <w:multiLevelType w:val="hybridMultilevel"/>
    <w:tmpl w:val="17F20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10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24249"/>
    <w:rsid w:val="00024A8A"/>
    <w:rsid w:val="000263EC"/>
    <w:rsid w:val="00035A90"/>
    <w:rsid w:val="0004549B"/>
    <w:rsid w:val="00076D35"/>
    <w:rsid w:val="000A66D5"/>
    <w:rsid w:val="000D25BB"/>
    <w:rsid w:val="000F5BB9"/>
    <w:rsid w:val="0010202F"/>
    <w:rsid w:val="001133C1"/>
    <w:rsid w:val="00113DF8"/>
    <w:rsid w:val="0011585F"/>
    <w:rsid w:val="001327D4"/>
    <w:rsid w:val="001335A6"/>
    <w:rsid w:val="001468C7"/>
    <w:rsid w:val="00166BB1"/>
    <w:rsid w:val="001A454C"/>
    <w:rsid w:val="001A5803"/>
    <w:rsid w:val="001D3D1E"/>
    <w:rsid w:val="001D7FD0"/>
    <w:rsid w:val="00236FC3"/>
    <w:rsid w:val="00256764"/>
    <w:rsid w:val="00271166"/>
    <w:rsid w:val="002B3D5A"/>
    <w:rsid w:val="002E6C07"/>
    <w:rsid w:val="002F5ABC"/>
    <w:rsid w:val="00300564"/>
    <w:rsid w:val="003101D1"/>
    <w:rsid w:val="00311975"/>
    <w:rsid w:val="00330AE7"/>
    <w:rsid w:val="00335E61"/>
    <w:rsid w:val="0034214E"/>
    <w:rsid w:val="003854FC"/>
    <w:rsid w:val="003965C1"/>
    <w:rsid w:val="003A7128"/>
    <w:rsid w:val="003D3075"/>
    <w:rsid w:val="003F1FAD"/>
    <w:rsid w:val="00404543"/>
    <w:rsid w:val="004214BF"/>
    <w:rsid w:val="00445389"/>
    <w:rsid w:val="00463105"/>
    <w:rsid w:val="00473F91"/>
    <w:rsid w:val="004B59D9"/>
    <w:rsid w:val="004C240B"/>
    <w:rsid w:val="004E64F9"/>
    <w:rsid w:val="004E6B12"/>
    <w:rsid w:val="00517D77"/>
    <w:rsid w:val="00541C28"/>
    <w:rsid w:val="00544964"/>
    <w:rsid w:val="00553C47"/>
    <w:rsid w:val="005611C3"/>
    <w:rsid w:val="005810AC"/>
    <w:rsid w:val="00595329"/>
    <w:rsid w:val="005A0174"/>
    <w:rsid w:val="005B4C83"/>
    <w:rsid w:val="005C54C4"/>
    <w:rsid w:val="005C74E7"/>
    <w:rsid w:val="005D5B94"/>
    <w:rsid w:val="00642794"/>
    <w:rsid w:val="006456A3"/>
    <w:rsid w:val="00646AE3"/>
    <w:rsid w:val="006643E3"/>
    <w:rsid w:val="00665EBE"/>
    <w:rsid w:val="00690E4D"/>
    <w:rsid w:val="006943A5"/>
    <w:rsid w:val="00696947"/>
    <w:rsid w:val="006A12C1"/>
    <w:rsid w:val="006B1682"/>
    <w:rsid w:val="006B62CF"/>
    <w:rsid w:val="006E7152"/>
    <w:rsid w:val="00716DB5"/>
    <w:rsid w:val="0072590E"/>
    <w:rsid w:val="00773793"/>
    <w:rsid w:val="007A74D0"/>
    <w:rsid w:val="007C561A"/>
    <w:rsid w:val="007F1E2E"/>
    <w:rsid w:val="008062D0"/>
    <w:rsid w:val="008263D2"/>
    <w:rsid w:val="00843DE4"/>
    <w:rsid w:val="00846C54"/>
    <w:rsid w:val="00853C1F"/>
    <w:rsid w:val="00866D55"/>
    <w:rsid w:val="008700A5"/>
    <w:rsid w:val="00893387"/>
    <w:rsid w:val="008C378C"/>
    <w:rsid w:val="008E7A7D"/>
    <w:rsid w:val="00903905"/>
    <w:rsid w:val="00904F16"/>
    <w:rsid w:val="00915214"/>
    <w:rsid w:val="00926369"/>
    <w:rsid w:val="0093334B"/>
    <w:rsid w:val="0097431B"/>
    <w:rsid w:val="009A1955"/>
    <w:rsid w:val="009C1190"/>
    <w:rsid w:val="00A060A6"/>
    <w:rsid w:val="00A13B4D"/>
    <w:rsid w:val="00A3317A"/>
    <w:rsid w:val="00A463CB"/>
    <w:rsid w:val="00A61BE2"/>
    <w:rsid w:val="00A6511E"/>
    <w:rsid w:val="00AA636A"/>
    <w:rsid w:val="00B00109"/>
    <w:rsid w:val="00B05C50"/>
    <w:rsid w:val="00B107BA"/>
    <w:rsid w:val="00B13A4B"/>
    <w:rsid w:val="00B14379"/>
    <w:rsid w:val="00B15AE2"/>
    <w:rsid w:val="00B23154"/>
    <w:rsid w:val="00B43E4A"/>
    <w:rsid w:val="00B575DB"/>
    <w:rsid w:val="00B63A52"/>
    <w:rsid w:val="00BA7672"/>
    <w:rsid w:val="00BC40D0"/>
    <w:rsid w:val="00BC7DBD"/>
    <w:rsid w:val="00BE4CFE"/>
    <w:rsid w:val="00BF2471"/>
    <w:rsid w:val="00BF4AC1"/>
    <w:rsid w:val="00BF6D46"/>
    <w:rsid w:val="00C227C2"/>
    <w:rsid w:val="00C24474"/>
    <w:rsid w:val="00C33BD8"/>
    <w:rsid w:val="00C940D3"/>
    <w:rsid w:val="00C97610"/>
    <w:rsid w:val="00CA3D3F"/>
    <w:rsid w:val="00CA5A8A"/>
    <w:rsid w:val="00CB41F4"/>
    <w:rsid w:val="00CD3D45"/>
    <w:rsid w:val="00D05E4A"/>
    <w:rsid w:val="00D20B4B"/>
    <w:rsid w:val="00D3705A"/>
    <w:rsid w:val="00D809FE"/>
    <w:rsid w:val="00DD1787"/>
    <w:rsid w:val="00DE4287"/>
    <w:rsid w:val="00DF2367"/>
    <w:rsid w:val="00DF4B71"/>
    <w:rsid w:val="00E25538"/>
    <w:rsid w:val="00E36445"/>
    <w:rsid w:val="00E509F5"/>
    <w:rsid w:val="00E70EB2"/>
    <w:rsid w:val="00E90159"/>
    <w:rsid w:val="00ED1E42"/>
    <w:rsid w:val="00F313C5"/>
    <w:rsid w:val="00F314F7"/>
    <w:rsid w:val="00F36256"/>
    <w:rsid w:val="00F85D06"/>
    <w:rsid w:val="00FB1FE8"/>
    <w:rsid w:val="00FB6F08"/>
    <w:rsid w:val="00FC14D8"/>
    <w:rsid w:val="00FC3B32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72950"/>
  <w15:docId w15:val="{53D38736-8732-4FB6-9231-304655A17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NormalWeb">
    <w:name w:val="Normal (Web)"/>
    <w:basedOn w:val="Normal"/>
    <w:rsid w:val="00B14379"/>
    <w:pPr>
      <w:spacing w:before="100" w:beforeAutospacing="1" w:after="100" w:afterAutospacing="1"/>
    </w:pPr>
    <w:rPr>
      <w:rFonts w:ascii="Times New Roman" w:eastAsia="Calibri" w:hAnsi="Times New Roman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60D09-7D60-40A8-9889-5BA04E49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https://mul.ysu.am/tasks/220607/oneclick/949bacbf48008832b837c6cebd108dd8828d0ad89d0bbbf6700f78dc31a2728d.docx?token=9e9ab553e993c2aa3f417a5fdcd1d93f</cp:keywords>
  <cp:lastModifiedBy>Movses Tovmasyan</cp:lastModifiedBy>
  <cp:revision>6</cp:revision>
  <cp:lastPrinted>2024-07-18T10:48:00Z</cp:lastPrinted>
  <dcterms:created xsi:type="dcterms:W3CDTF">2024-07-18T10:47:00Z</dcterms:created>
  <dcterms:modified xsi:type="dcterms:W3CDTF">2024-09-12T10:17:00Z</dcterms:modified>
</cp:coreProperties>
</file>