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2024.09.12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Комитет государственных доходов Республики Армения</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М. Хоренаци 3.7</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ОПТИЧЕСКИЕ КОМУТАТОРЫ</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Սպարտակ Հարությունյան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spartak_harutyunyan@taxservice.am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+37460844708, +37460844709, +37460844702, +37460844703, +37460844704,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Комитет государственных доходов Республики Армения</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ՊԵԿ-ԷԱՃԱՊՁԲ-2024/4</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2024.09.12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Комитет государственных доходов Республики Армения</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Комитет государственных доходов Республики Армения</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ОПТИЧЕСКИЕ КОМУТАТОРЫ</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ОПТИЧЕСКИЕ КОМУТАТОРЫ</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Комитет государственных доходов Республики Армения</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ՊԵԿ-ԷԱՃԱՊՁԲ-2024/4</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spartak_harutyunyan@taxservice.am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ОПТИЧЕСКИЕ КОМУТАТОРЫ</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ОПТИЧЕСКИЕ КОМУТАТОРЫ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387.27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4.26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427.93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2024.09.24.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ՊԵԿ-ԷԱՃԱՊՁԲ-2024/4</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Комитет государственных доходов Республики Армения</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ՊԵԿ-ԷԱՃԱՊՁԲ-2024/4</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ՊԵԿ-ԷԱՃԱՊՁԲ-2024/4</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ՊԵԿ-ԷԱՃԱՊՁԲ-2024/4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Комитет государственных доходов Республики Армения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 ՊԵԿ-ԷԱՃԱՊՁԲ-2024/4"*</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ՊԵԿ-ԷԱՃԱՊՁԲ-2024/4"</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Комитет государственных доходов Республики Армения*(далее — Заказчик) процедуре закупок под кодом ՀՀ ՊԵԿ-ԷԱՃԱՊՁԲ-2024/4*.</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ՊԵԿ-ԷԱՃԱՊՁԲ-2024/4</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ՊԵԿ-ԷԱՃԱՊՁԲ-2024/4"</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Комитет государственных доходов Республики Армения*(далее — Заказчик) процедуре закупок под кодом ՀՀ ՊԵԿ-ԷԱՃԱՊՁԲ-2024/4*.</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ՊԵԿ-ԷԱՃԱՊՁԲ-2024/4</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_1095____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_____</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ՊԵԿ-ԷԱՃԱՊՁԲ-2024/4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ОПТИЧЕСКИЕ КОМУТАТОРЫ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Шасси:	Для установки в серверную стойку высотой 2U 19". 
Порты	Наличие как минимум 24 портов SFP28 FibreChannel емкостью как минимум 32 ГБ. Все порты должны быть активными и лицензированными. Наличие трансиверов Short Wave для всех портов.
Порты необходимо подключить к коммутатору HPE SN3000b SAN в режиме E_Port switch mode, согласно официальной версии обслуживания производителем. Все порты должны поддерживать следующие типы портов: F_Port, E_Port, M_Port, D_Port (диагностический порт ClearLink).
• как минимум 1 - 10/100/1000 Mb RJ-45 Ethernet
• как минимум 1 плата управления RJ-45
• как минимум 1 порт USB
Возможности	Каждый коммутатор должен иметь WEB-панель управления и CLI, пропускную способность как минимум 768 Gb full duplex, задержки портов не более 900 ns։ Должны обеспечиваться следующие функции: Flow Vision, Traffic Isolation, QoS, Fabric Performance Impact (FPI) monitoring, Advanced Zoning (Default zoning, port/WWN zoning, broadcast zoning, peer zoning, target driven zoning, Dynamic Fabric Provisioning (DFP), Dynamic Path Selection (DPS), Extended Fabrics, Enhanced BB credit recovery, FDMI, Frame Redirection, Frame-based Trunking, FSPF, ISL Trunking (до 8 портов, с общей пропускной способностью не менее 256 Гбит/с), NPIV, NTP v3, Registered State Change Notification (RSCN), Reliable Commit Service (RCS), Simple Name Server), включая все необходимые лицензии для обеспечения указанной функциональности.
Дополнительные компоненты	Установка и загрузка оборудования должны выполнять специалисты, имеющие лицензию производителя.
ДРУГИЕ УСЛОВИЯ
•	Товары должны быть неиспользованным, в упаковке.
•	Транспортировка и разгрузка товаров осуществляются Поставщиком за свой счет и средства.
•	Участник должен будет предоставить информацию о фирменном наименовании предлагаемого товара, торговой марке, модели и производителе.
•	Производитель должен обеспечить как минимум 3-летнюю заводскую гарантию (Обслуживание авторизованным производителем в авторизованном сервисном центре в РА). Гарантия должна обеспечить возможность регистрации заявки на обслуживание в системе производителя в режиме 24x7. Обратная связь: максимум 4 часа. Поврежденные носители не будут возвращены поставщику или производителю после замены, что должно быть указано в описании гарантии производителя.
•	Для требуемых товаров Поставщик должен представить доверенность производителя (MAF) или официальную доверенность поставщика (DAF).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ՊԵԿ-ԷԱՃԱՊՁԲ-2024/4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А.Аароняна 13/3  и  г. Дилиджан Парз Лич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на основе соответствующего соглашения, заключенного между сторонами, в течение 90 календарных дней, считая со следующего дня вступления соглашения в силу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ՊԵԿ-ԷԱՃԱՊՁԲ-2024/4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ՊԵԿ-ԷԱՃԱՊՁԲ-2024/4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ՊԵԿ-ԷԱՃԱՊՁԲ-2024/4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