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11 դպրոցների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11 դպրոցների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11 դպրոցների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11 դպրոցների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(Վտ) 2300, քաշող ուժի հզորությունը` նվազագույնը (Վտ) 500, խողովակի տեսակը` տելեսկոպիկ, փոշու տարայի տեսակը և ծավալը` նվազագույնը 3 լ պարկ: Հատակի և գորգի գլխիկ, փափուկ կահույքի գլխիկ, անկյունների գլխիկ: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Նշված ապրանքը պետք է լինի նոր` չօգտագործված: Տեղափոխումը, բեռնաթափումը և հավաքումը` ըստ հասցեների իրականացվում է Մատակարարի կողմից պատվիրատուի կողմից տրամադրված բաշխման ցանկին համապատասխան: Մինչև մատակարարումը ներկայացված ապրանքի նմուշը համաձայնեցնել պատվիրատուի հետ: Մատակարարման օրը համաձայնեցնել պատվիրատուի հետ: Պայմանագրի կատարման փուլում չափաբաժնով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1-ը,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