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2024.09.19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1-24/9</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ՎԲԿ-ԷԱՃԱՊՁԲ-24/9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ՎԱՐԴԵՆԻՍԻ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Գեղարքունիքի մարզ, ք· Վարդենիս, Վ. Համբարձումյանի-34</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"Վարդենիսի  ԲԿ" ՓԲԸ-ի   կարիքների համար բենզին ռեգուլյարի / կտրոնով/   գնման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Մկրտչյան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093636238 / vardenispol@mail.ru</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an.mkrtchyan@bk.ru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ՎԱՐԴԵՆԻՍԻ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ՎԲԿ-ԷԱՃԱՊՁԲ-24/9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2024.09.19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1-24/9</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ՎԱՐԴԵՆԻՍԻ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ՎԱՐԴԵՆԻՍԻ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"Վարդենիսի  ԲԿ" ՓԲԸ-ի   կարիքների համար բենզին ռեգուլյարի / կտրոնով/   գնման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ՎԱՐԴԵՆԻՍԻ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"Վարդենիսի  ԲԿ" ՓԲԸ-ի   կարիքների համար բենզին ռեգուլյարի / կտրոնով/   գնման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ՎԲԿ-ԷԱՃԱՊՁԲ-24/9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an.mkrtchyan@bk.ru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"Վարդենիսի  ԲԿ" ՓԲԸ-ի   կարիքների համար բենզին ռեգուլյարի / կտրոնով/   գնման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2024.10.01. 12:00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ՎԲԿ-ԷԱՃԱՊՁԲ-24/9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ՎԱՐԴԵՆԻՍԻ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ՎԲԿ-ԷԱՃԱՊՁԲ-24/9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ՎԲԿ-ԷԱՃԱՊՁԲ-24/9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«ՎԲԿ-ԷԱՃԱՊՁԲ-24/9»*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ՎԲԿ-ԷԱՃԱՊՁԲ-24/9*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«ՎԲԿ-ԷԱՃԱՊՁԲ-24/9»*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ՎԱՐԴԵՆԻՍԻ ԲԺՇԿԱԿԱՆ ԿԵՆՏՐՈՆ ՓԲԸ*  (այսուհետ` Պատվիրատու) կողմից կազմակերպված` ՎԲԿ-ԷԱՃԱՊՁԲ-24/9*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ՎԱՐԴԵՆԻՍԻ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- 08803091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Վարդենիսի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- 16037102777400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"Վարդենիսի ԲԿ"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14</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եռաբութիլսպիրտ-7 %, եթերներ (C5 և ավելի)-15 %, այլ օքսիդիչներ-10 %, անվտանգությունը, մակնշումը և փաթեթավորումը` ըստ ՀՀ կառավարության 2004թ. նոյեմբերի 11-իN 1592-Ն որոշմամբ հաստատված «Ներքին այրման շարժիչային վառելիքների տեխնիկական կանոնակարգի» Մատակարարումը` կտրոնային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Գեղարքունիքի մարզ,ք․Վարդենիսի, Վ․Համբարձումյան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մնացածը՝ 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