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ՎԱԲՏ-ԷԱՃԱՊՁԲ-25/11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Բնապահպանության և ընդերքի տեսչական մարմնի կարիքների համար` ՎԱԲՏ-ԷԱՃԱՊՁԲ-25/11 ծածկագրով ավտոպահեստամասերի և տրանսպորտային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Ադոնց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lilit.adonts@gov.am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ՎԱԲՏ-ԷԱՃԱՊՁԲ-25/11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Բնապահպանության և ընդերքի տեսչական մարմնի կարիքների համար` ՎԱԲՏ-ԷԱՃԱՊՁԲ-25/11 ծածկագրով ավտոպահեստամասերի և տրանսպորտային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Բնապահպանության և ընդերքի տեսչական մարմնի կարիքների համար` ՎԱԲՏ-ԷԱՃԱՊՁԲ-25/11 ծածկագրով ավտոպահեստամասերի և տրանսպորտային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ՎԱԲՏ-ԷԱՃԱՊՁԲ-25/11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lilit.adonts@gov.am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Բնապահպանության և ընդերքի տեսչական մարմնի կարիքների համար` ՎԱԲՏ-ԷԱՃԱՊՁԲ-25/11 ծածկագրով ավտոպահեստամասերի և տրանսպորտային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ՎԱԲՏ-ԷԱՃԱՊՁԲ-25/11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ՎԱԲՏ-ԷԱՃԱՊՁԲ-25/11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ՎԱԲՏ-ԷԱՃԱՊՁԲ-25/11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ՎԱԲՏ-ԷԱՃԱՊՁԲ-25/11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ՎԱԲՏ-ԷԱՃԱՊՁԲ-25/11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«ՎԱԲՏ-ԷԱՃԱՊՁԲ-25/11»*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«ՎԱԲՏ-ԷԱՃԱՊՁԲ-25/11»*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Պայմանագիրն ուժի մեջ մտնելուց հետո պայմանագրով սահմանված Պատվիրատուի իրավունքները և պարտավորությունները փոխանցվում են Բնապահպանության և ընդերքի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կիսասինթետիկ (ունիվերսալ)՝ նախատեսված ինժեկտորային շարժիչների համար: SAE-10W40, API-SN միջազգային ստանդարտներին համապատասխան. կինեմատիկ մածուցիկությունը  100°C դեպքում` 14.8 մմ2/վ, մածուցիկության ինդեքսը` նվազագունը 152, բռնկման ջերմաստիճանը` նվազագույնը 229°C, սառեցման ջերմաստիճանը` նվազագույնը -36°C, մեխանիկական մասնիկների մասնաբաժինը` 0.015%-ից ոչ ավել, հիմնային թիվ 10.1 մգ KOH/գ, խտությունը 20°C դեպքում 0.869, 4 և 5 լիտրանոց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սինթետիկ (ունիվերսալ)՝ նախատեսված ինժեկտորային շարժիչների համար: SAE - 5W30 API-SP-RC,  ILSAC GF-6a միջազգային ստանդարտներին համապատասխան: կինեմատիկ մածուցիկությունը  100°C դեպքում` 11.4 մմ2/վ,  բռնկման ջերմաստիճանը` նվազագույնը 228°C, սառեցման ջերմաստիճանը` նվազագույնը -39°C, մեխանիկական մասնիկների մասնաբաժինը` 0.015%-ից ոչ ավել,  խտությունը 15°C դեպքում 0.847, 4 և 5 լիտրանոց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Անտիֆրիզ (խտանյութ) 5լ տարաներով (1/1= - 40%),  գույնը՝ կապույտ: AFNOR NF-R 15-601 Type 1, AS 2108, ASTM D 3306 Type 1, BS 6580, CUNA NC 956-16, JIS K 2234, SAE J 1034, UNE 26-361: Հատուկ քաշը 20°C ջերմաստիճանում 1,100 - 1,140 կգ/մ3, բոցավառման ջերմաստիճանը՝ նվազագույնը 120°C, եռման կետը՝ նվազագույնը 165°C, PH արժեքը (լուծույթում ջրածնի իոնների գործունեության չափը բնութագրող արժեքը)՝ նվազագույնը 7.5 (33 VOL %), ջրի պարունակությունը՝ առավելագույնը 5 %: Հեղուկը պետք է հավանության արժանացած լինի առաջատար ավտոարտադրողների կողմից: Արտադրութան տարեթիվը ոչ պակաս 2023թ.: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Անվանական ունակությունը-70Ա/Ժ, Բևեռականությունը-Հակադարձ կամ 0: Սառը պարպման հոսանքը EN (ոչ պակաս)-640A: Երկարություն/Լայնություն/Բարձրություն -278/175/190մմ: Չօգտագործված, թողարկված 2024 թվականից ոչ շուտ: Երաշխիքային ժամկետը՝ շահագործման օրվանից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Անվանական ունակությունը-75Ա/Ժ, Բևեռականությունը-Հակադարձ կամ 0: Սառը պարպման հոսանքը EN (ոչ պակաս)-580A: Երկարություն/Լայնություն/Բարձրություն -276/175/190մմ: Չօգտագործված, թողարկված 2024 թվականից ոչ շուտ: Երաշխիքային ժամկետը՝ շահագործման օրվանից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Անվանական ունակությունը-65Ա/Ժ, Բևեռականությունը-Հակադարձ կամ 0: Սառը պարպման հոսանքը EN (ոչ պակաս)-640A: Երկարություն/Լայնություն/Բարձրություն-240/170/190մմ: Չօգտագործված, թողարկված 2024 թվականից ոչ շուտ: Երաշխիքային ժամկետը՝ շահագործման օրվանից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265/65R17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 (Speed Index)-ոչ պակաս H(210), բեռնվածության ինդեքսը` (Load Index)-ոչ պակաս 110, բեռնվածությունը` Max Load (kg) - ոչ պակաս 1060: Արտադրության տարեթիվը-ոչ շուտ, քան 2024թ.: Չօգտագօրծված: Ապրանքի մատակարարումը և բեռնաթափումը իրականացնում է Մատակարարը, Անվադողերի փոխարինումը և անվահեծերի հավասարակշռումը /բալանսավորումը/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265/65R17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 (Speed Index)-ոչ պակաս Q(160/կմ/ժ), բեռնվածության ինդեքսը` (Load Index)-ոչ պակաս 110, բեռնվածությունը` Max Load (kg)-ոչ պակաս 1060: Արտադրության տարեթիվը-ոչ շուտ, քան 2024թ.: Չօգտագօրծված: Ապրանքի մատակարարումը և բեռնաթափումը իրականացնում է Մատակարարը, Անվադողերի փոխարինումը և անվահեծերի հավասարակշռումը /բալանսավորումը/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235/60R16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 (Speed Index)-ոչ պակաս T(190/կմ/ժ), բեռնվածության ինդեքսը` (Load Index) - ոչ պակաս 100, բեռնվածությունը` Max Load (kg) - ոչ պակաս 800: Արտադրության տարեթիվը-ոչ շուտ, քան 2024թ.: Չօգտագօրծված: Ապրանքի մատակարարումը և բեռնաթափումը իրականացնում է Մատակարարը, Անվադողերի փոխարինումը և անվահեծերի հավասարակշռումը /բալանսավորումը/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215/60R16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H(210/կմ/ժ), բեռնվածության ինդեքսը` (Load Index) - ոչ պակաս 95 , բեռնվածությունը`Max Load (kg) - ոչ պակաս 690: Արտադրության տարեթիվը-ոչ շուտ, քան 2024 թ.: Չօգտագօրծված: Ապրանքի մատակարարումը և բեռնաթափումը իրականացնում է Մատակարարը, Անվադողերի փոխարինումը և անվահեծերի հավասարակշռումը /բալանսավորումը/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215/60R16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H(210/կմ/ժ), բեռնվածության ինդեքսը` (Load Index) - ոչ պակաս 99, բեռնվածությունը`Max Load (kg) - ոչ պակաս 775: Արտադրության տարեթիվը - ոչ շուտ, քան 2024թ.: Չօգտագօրծված: Ապրանքի մատակարարումը և բեռնաթափումը իրականացնում է Մատակարարը, Անվադողերի փոխարինումը և անվահեծերի հավասարակշռումը /բալանսավորումը/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205/70R16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 (Speed Index)-ոչ պակաս Q(160/կմ/ժ), բեռնվածության ինդեքսը` (Load Index)-ոչ պակաս 91, բեռնվածությունը` Max Load (kg)-ոչ պակաս 615: Արտադրության տարեթիվը-ոչ շուտ, քան 2024թ.: Չօգտագօրծված: Ապրանքի մատակարարումը և բեռնաթափումը իրականացնում է Մատակարարը, Անվադողերի փոխարինումը և անվահեծերի հավասարակշռումը /բալանսավորումը/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205/70R16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 (Speed Index)-ոչ պակաս Q(160/կմ/ժ), բեռնվածության ինդեքսը` (Load Index)-ոչ պակաս 91, բեռնվածությունը`Max Load (kg)-ոչ պակաս 615: Արտադրության տարեթիվը-ոչ շուտ, քան 2024թ.: Չօգտագօրծված: Ապրանքի մատակարարումը և բեռնաթափումը իրականացնում է Մատակարարը, Անվադողերի փոխարինումը և անվահեծերի հավասարակշռումը /բալանսավորումը/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205/55R16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 (Speed Index)-ոչ պակաս H(210/կմ/ժ), բեռնվածության ինդեքսը` (Load Index)-ոչ պակաս 91, բեռնվածությունը`Max Load (kg)-ոչ պակաս 615: Արտադրության տարեթիվը-ոչ շուտ, քան 2024թ.: Չօգտագօրծված: Ապրանքի մատակարարումը և բեռնաթափումը իրականացնում է Մատակարարը, Անվադողերի փոխարինումը և անվահեծերի հավասարակշռումը /բալանսավորումը/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205/55R16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 (Speed Index)-ոչ պակաս T(190/կմ/ժ), բեռնվածության ինդեքսը` (Load Index)-ոչ պակաս 91, բեռնվածությունը` Max Load (kg)-ոչ պակաս 615: Արտադրության տարեթիվը-ոչ շուտ, քան 2024թ.: Չօգտագօրծված: Ապրանքի մատակարարումը և բեռնաթափումը իրականացնում է Մատակարարը, Անվադողերի փոխարինումը և անվահեծերի հավասարակշռումը /բալանսավորումը/ իրականացվում է մատակարարի կողմից՝ ըստ Պատվիրատուի պահանջի, Երևան  քաղաքում: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40-րդ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160-րդ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40-րդ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160-րդ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160-րդ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100-րդ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100-րդ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100-րդ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100-րդ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60-րդ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250-րդ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100-րդ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250-րդ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60-րդ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100-րդ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100-րդ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250-րդ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