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Սուրբ Գրիգոր Լուսավորիչ ՓԲԸ</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ՀՀ, ք. Երևան, Գյուրջյան 10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лекарства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Աիդա Համբարձումյան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a.hambardzumyan@keystone.am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091606942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Սուրբ Գրիգոր Լուսավորիչ ՓԲԸ</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ՍԳԼ-ԷԱՃԱՊՁԲ-24/37</w:t>
      </w:r>
      <w:r w:rsidRPr="00F32D53">
        <w:rPr>
          <w:rFonts w:ascii="Calibri" w:hAnsi="Calibri" w:cstheme="minorHAnsi"/>
          <w:i/>
        </w:rPr>
        <w:br/>
      </w:r>
      <w:r w:rsidRPr="00F32D53">
        <w:rPr>
          <w:rFonts w:ascii="Calibri" w:hAnsi="Calibri" w:cstheme="minorHAnsi"/>
          <w:szCs w:val="20"/>
          <w:lang w:val="af-ZA"/>
        </w:rPr>
        <w:t>2024.09.24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Սուրբ Գրիգոր Լուսավորիչ ՓԲԸ</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Սուրբ Գրիգոր Լուսավորիչ ՓԲԸ</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лекарства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лекарства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Սուրբ Գրիգոր Լուսավորիչ ՓԲԸ</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ՍԳԼ-ԷԱՃԱՊՁԲ-24/37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a.hambardzumyan@keystone.am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лекарства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16:00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387.09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4.23</w:t>
      </w:r>
      <w:r w:rsidRPr="00F32D53">
        <w:rPr>
          <w:rFonts w:ascii="Calibri" w:hAnsi="Calibri" w:cstheme="minorHAnsi"/>
          <w:szCs w:val="22"/>
        </w:rPr>
        <w:t xml:space="preserve"> драмом, евро </w:t>
      </w:r>
      <w:r w:rsidR="00991780" w:rsidRPr="00F32D53">
        <w:rPr>
          <w:rFonts w:ascii="Calibri" w:hAnsi="Calibri" w:cstheme="minorHAnsi"/>
          <w:lang w:val="af-ZA"/>
        </w:rPr>
        <w:t>424.29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2024.10.07. 16:00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ՍԳԼ-ԷԱՃԱՊՁԲ-24/37</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00E93C04" w:rsidRPr="00F32D53">
        <w:rPr>
          <w:rFonts w:ascii="Calibri" w:hAnsi="Calibri" w:cstheme="minorHAnsi"/>
          <w:sz w:val="23"/>
          <w:szCs w:val="23"/>
          <w:lang w:val="af-ZA"/>
        </w:rPr>
        <w:t>ՍԳԼ-ԷԱՃԱՊՁԲ-24/37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'ՍԳԼ-ԷԱՃԱՊՁԲ-24/37'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ՍԳԼ-ԷԱՃԱՊՁԲ-24/37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Սուրբ Գրիգոր Լուսավորիչ ՓԲԸ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"ՍԳԼ-ԷԱՃԱՊՁԲ-24/37"*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ՍԳԼ-ԷԱՃԱՊՁԲ-24/37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ՍԳԼ-ԷԱՃԱՊՁԲ-24/37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(iohexol) раствор для инъекций, 755 мг/мл (350 мг йода/мл), 100 мл».Покупатель имеет право запрашивать количество меньше максимального общего объема в течение года, что не может привести к ненадлежащему выполнению обязательств сторон по контракту.
"Все лекарства должны быть зарегистрированы в Государственном реестре лекарств РА (реестр):
Сроки годности лекарств на момент передачи покупателю должны соответствовать следующим требованиям:
а. Лекарства со сроком годности более 2,5 лет должны иметь не менее 24 месяцев остаточного срока годности на момент передачи.
б. Лекарства со сроком годности менее 2,5 лет должны иметь не менее 12 месяцев общего срока годности на момент передачи.
Обязательным условием при поставке каждой партии является соблюдение требований действующего на момент поставки Постановления № 502-Н Правительства РА.
Продавец обязан подготовить все документы, связанные с поставкой товаров (акт передачи-приема, акт фиксирования факта передачи результата контракта Покупателю и счет-фактура) в соответствии с единицей измерения, указанной в контракте."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 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