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ԵՊՀ-ԷԱՃԱՊՁԲ-24/200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վառելիքի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Բնորոշ հոտով, թափանցիկ, դյուրավառ հեղուկ, ԱԻ-95 պրեմիում տեսակի: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Բնորոշ հոտով, թափանցիկ, դյուրավառ հեղուկ, ԱԻ-95 պրեմիում տեսակի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