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ԱԱԳԼ-ԷԱՃԱՊՁԲ-24/55 ծածկագրով օդորակչի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ԱԱԳԼ-ԷԱՃԱՊՁԲ-24/55 ծածկագրով օդորակչի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ԱԱԳԼ-ԷԱՃԱՊՁԲ-24/55 ծածկագրով օդորակչի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ԱԱԳԼ-ԷԱՃԱՊՁԲ-24/55 ծածկագրով օդորակչի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220-240 Վ/50-60 Հց։ Նախընտրելի գույն՝ սպիտակ։ Ռեժիմներ՝ հովացում և ջեռուցում։ Ջեռուցման հզորություն՝ առնվազն 755 Վտ։ Սառեցման հզորություն՝ առնվազն 840 Վտ։ Օդորակիչի հզորությունը՝ առնվազն 9000 BTU։ Օդորակիչի աշխատանքային մակերես՝ առնվազն 30 մ²։ Օդի շրջանառ.(խմ/ժ)՝ առնվազն 500 մ³/ժ։ Աշխատանքային ջերմաստիճան՝ առնվազն +43°C/-7°C։ Էներգախնայողության դաս՝ A։ Օդորակիչի տեսակը՝ սպլիտ համակարգ։ Թևիկների կառավարման հնարավորությամբ։ Երաշխիք՝  3 տարի։ Տեղադրումը և տեղադրման համար անհրաժեշտ բոլոր պարագաները ապահովում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