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տոներային քարտրիջների և լազերային սկավառակների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010 325642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տոներային քարտրիջների և լազերային սկավառակների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տոներային քարտրիջների և լազերային սկավառակների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տոներային քարտրիջների և լազերային սկավառակների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ՀԳԴ-ԷԱՃԱՊՁԲ-24/15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HP LaserJet Pro MFP M130A տպիչների համար, չիպով, գույնը սև, առնվազն 1600 էջ տպելու հնարավորությամբ: Տպագրության ռեսուրսը A4 ձևաչափի 5% տպագրած ծածկույթի դեպքում:  Քարտրիջի տոների  առնվազն պարունակությունը՝ 100գ.,Քարտրիջի տոների բունկերը՝ գործարանային կապարակնքված: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քարտրիջի թմբուկ  նախատեսված HP LaserJet Pro MFP M130a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ՀՊ ԼՋ 1012,1015,1018, 1020,1022 (HP LJ 1010,1012,1015,1018,1020,1022), Canon LBP 2900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HP LJ P 1005, 1102, Canon LBP 6030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4410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212, 231, 237 տպիչների համար: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275DW տպիչների  համար, չիպով, գույնը սև, 2500 էջ տպելու հնարավորությամբ: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700 Mb, արագությունը՝ 52x: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  4,7 Gb, արագությունը՝ 16x: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