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и дизельное 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и дизельное 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и дизельное топливо</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и дизельное 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1% не более, плотность при 15 °С: 720-775 кг/м3, содержание серы не более 10 мг/кг, массовая доля кислорода не более 2,7%, объемная. доля окислителей, не более: метанол - 3 %, этанол - 5 %, спирт изопропиловый - 10 %, спирт изобутиловый - 10 %, спирт тербутиловый - 7 %, эфиры (С5 и более) - 15 %, другие окислители -10%, безопасность согласно действующему законодательству. Поставка талона.
• Наличие сертификата качества продукции обязательно.
• Купоны должны быть действительны в течение как минимум 14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не более: метанола -3%,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как минимум 18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ГОСТ-П 52368-2005, тип III (ВИД-III) цетановое число не менее 51, цетановое число не менее 46, плотность при 15°С от 820 до 845 кг/мА, содержание серы 10 не более мг. /кг, температура вспышки не ниже 55°С, остаточный углерод в 10% осадке не более 0,3%, вязкость при 40°С 2,0-4,5 ммА/с, температура помутнения - не выше 0°С, безопасность, маркировка и безопасность согласно действующему законодательству. . Предложение: Купон.
• Наличие сертификата качества продукции обязательно.
Купоны должны быть действительны в течение как минимум 18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дней после вступления       в   силу соглашения сторон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