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և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և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և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և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գործող օրենսդրության:Մատակարարումը՝ կտրոնային:
•	Ապրանքի որակի սերտիֆիկատի առկայությունը պարտադիր է.
•	Կտրոններն ուժի մեջ պետք է լինեն մատակարարման օրվան հաջորդող առնվազն 14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գործող օրենսդրության: Պայմանական նշանները` վախենում է կրակից: Տեղափոխման անվտանգությունը`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18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դիզելային վառելիք, ԳՕՍՏ-P 52368-2005, տեսք III  (ВИД-III)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անվտանգությունը ըստ գործող օրենսդրության : Մատակարարումը` կտրոնային:
•	Ապրանքի որակի սերտիֆիկատի առկայությունը պարտադիր է.
Կտրոններն ուժի մեջ պետք է լինեն մատակարարման օրվան հաջորդող առնվազն 18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20-րդ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 դեպքում կողմերի միջև կնքվող համաձայնագրի ուժի  մեջ մտնելուց հետո 80-րդ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