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356-Ա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աշխատակազմի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ayvazyan-1986@mail.ru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356-Ա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աշխատակազմի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աշխատակազմի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ayvazyan-1986@mail.ru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աշխատակազմի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ՍՄՍՀ-ԷԱՃԱՊՁԲ-24/15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տեխնիկականկանոնակարգի»: Մատակարարումը 10 և 20 լիտրանոց լիցքավորման կտրոնների միջոցով, Սիսիան համայնքի Սիսիան քաղաքի տարածքում գտնվող լցակայանից: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