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094687701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- 112, բեռնվածությունը (կգ)-  Max.load(kg)  ոչ պակաս – 1120 կգ: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- 95,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5w30,40 ունիվերսալ, բենզինային շաժիչների համար, որը պետք է համապատասխանի կիրառելու մի քանի կլապաններով ուղիղ ներկրմամբ: Արդարացնում  է լիովին շահագործել ամենածանր պայմաններում /ավտոճանապարհները, քաղաքային խիտ տրանսպորտը/ և տարվա բոլոր պայմանները: Քիմիական բաղադրությունը՝ սինթեթիկ, Կինեմատիկ մածուծիկությունը 100°C դեպքում 9,3-11,0․ Մածուծիկության ինդեքսը՝ 160-ից ոչ պակաս,Բռնկման ջերմաստիճանը 200-ից ոչ ցածր, սառեցման ջերմաստիճանը -40°C-ից ոչ բարձր, մեխանիկական խառնուրդների զանգվածային բաժինը 0.015-ից ոչ ավել։ Փաթեթավորումը և մակնշումը՝ համաձայն ԳՕՍՏ 1510-84-ի համապատասխան։
1լ և  5լ տարաներով, որից 1լ-ոց տարաներով՝ 30 հատ և 5լ-ոց տարաներով 4 հատ, արտադրությունը ոչ շուտ, քան 2024 թ․ 3-ից 4-րդ եռամսյակ և 2025 թ․ արտադրության։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ունիվերսալ, բենզինային շաժիչների համար։
Տվյալ յուղերի կազմի մեջ մտնում են նավթը և որոշ քիմիկան նյութեր։ Քիմիական հավելանյութերի միջոցով արհեստականորեն բարձրացվում են յուղերի որոշակի հնարավորություններ։
Քիմիկական բաղադրությունը՝ կիսասինթետիկ։
Կինեմատիկ մածուծիկությունը՝ 100°C դեպքում 12.0-15․15.3մմ²/վ։
Մածուծիկության ինդեքսը՝ 150-ից ոչ պակաս, բռնկման ջերմաստիճանը 210°C-ից ոչ պակաս, սառեցման ջերմաստիճանը -30°C-ից ոչ բարձր, ալկալային թիվ՝ 6.5մգ K0H/գ ոչ պակաս։ Մեխանիկական խառնուրդների զանգվածային բաժինը 0.015 տոկոսից -ից ոչ ավել, ինքնաբռնկման ջերմաստիճանը՝ ոչ պակաս   200°C, ջրի զանգվածային բաժինը ոչ ավել 0.01 տոկոսից / հետքեր/։ Փաթեթավորումը և մակնշումը՝ համաձայն ԳՕՍՏ 1510-84-ի համապատասխան։ Խտությունը  15°C-ում՝ 0.850գ/սմ3։
Դինամիկ մածուծիկությունը 150°C-ում չպետք է փոքր լինի 3,5 Պա․վ-ից։
1լ և  5լ տարաներով, որից 1լ-ոց տարաներով, հաշվի առնելով յուղի խտությունը։ Մնացորդը ըստ պատվիրատուի հետ պայմանավորվածությամբ։ Արտադրությունը ոչ շուտ, քան 2024 թ․ 3-ից 4-րդ եռամսյակ և 2025 թ․ արտադրության։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60A 66A 
Անվանական ունակությունը-60 կամ 66Ա/Ժ, 
բևեռականությունը-հակադարձ կամ 0, երկարությունը` (ոչ ավել)-242մմ, լայնությունը (ոչ ավել) -175մմ, բարձրությունը (ոչ ավել)-190մմ, սառը պարպման հոսանքը EN (ոչ պակաս)-600A, մարտկոցի արտադրության տարեթիվը-2025թ:  Չօգտագործված: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հեղուկ/անտիֆրիզ/ Astron,հիբրիդային (HOAT - Hybrid Organic Acid Technology) կամ համարժեքը,  նախատեսված   ներքին այրման շարժիչներում օգտագործվող, որպես հովացման հեղուկ, բյուրեղացման աստիճանը  -40-ից ոչ բարձր, հիմնայնությունը 10 սմ3 ոչ պակաս, առանց մեխանիկական խառնուրդների, գույնը կարմիր կամ կանաչ,փաթեթավորումը 1լ  G տարաներով: Տեղափոխումը մատակարարի կողմից: Արտադրության տարեթիվը-2025թ:  Մնացած բոլոր տեխնիկական տվյալները պետք է համապատասխանեն 2422-007-57223659-2010 տեխնիկական պայմաններին: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