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компьютерого оборудования для нужд Службы Пробации. Код процедуры ՀՀՊԾ-ԷԱՃԱՊՁԲ-24/10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Вардан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v_navasardyan@mail.ru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091094490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ՀՀՊԾ-ԷԱՃԱՊՁԲ-24/10</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компьютерого оборудования для нужд Службы Пробации. Код процедуры ՀՀՊԾ-ԷԱՃԱՊՁԲ-24/10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компьютерого оборудования для нужд Службы Пробации. Код процедуры ՀՀՊԾ-ԷԱՃԱՊՁԲ-24/10</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v_navasardyan@mail.ru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компьютерого оборудования для нужд Службы Пробации. Код процедуры ՀՀՊԾ-ԷԱՃԱՊՁԲ-24/10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ՀՀՊԾ-ԷԱՃԱՊՁԲ-24/10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ՀՀՊԾ-ԷԱՃԱՊՁԲ-24/10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 процессор Intel® Core i7-13620H 13-го поколения (10 ядер), 32 ГБ ОЗУ DDR4, твердотельный накопитель емкостью 1 ТБ, графика Intel UHD, Full HD не менее 27 дюймов, Wi-Fi-AX, Bluetooth, HDMI, Windows 11 Pro , Встроенная веб-камера, кэш: не менее 24 МБ Intel® Smart Cache,
Беспроводная клавиатура, мышь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 13-го поколения, сокет 1744, количество ядер не менее 8, количество потоков не менее 16, частота 2,5 ГГц, в режиме Turbo 4,6 ГГц, кэш не менее 12 МБ HD Графика для 13-го поколения. Розетка охладителя 1744, сенсорная поверхность: медь. Оперативная память: не менее 8 ГБ, 3200 МГц, Память SSD 512 ГБ типа M.2 PCI-e NVMe 1.3, скорость чтения не менее 1500 МБ/В, скорость записи не менее 800 МБ/В.), Гбт. LAN, Wi-Fi® 5, 802.11ac 2x2 Wi-Fi® + Bluetooth® 5.1, карта M.2 2xDDR4 3200 МГц до 64 ГБ, (2)xUSB3.2, (2)xUSB2.0, HDMI, блок питания 100- 240В. минимум 2XUSB 3.0, 2XUSB 2.0, 
Встроенные динамики	3Вx2
Размер экрана (Монитора) (дюймы) не менее 23,8, разрешение не менее 1920 х 1080, матрица IPS, частота не менее 75Гц, яркость в обычном режиме не менее 250 кд/м², время отклика не менее 5 мс, контрастность (типичная) не менее 1000:1, цветовой охват не менее NTSC 72%, не менее 6Bit+HiFRC, наличие технологий Flicker-less/BlueLightShield/AMD FreeSync. Выходы: минимум 1 HDMI, угол обзора 89°
Клавиатура Мышь
Гарантия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Аршакуняц,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Аршакуняц,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