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KSHMP-EAAPDzB-24/56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KSHMP-EAAPDzB-24/56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KSHMP-EAAPDzB-24/56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KSHMP-EAAPDzB-24/56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KSHMP-EAAPDzB-24/56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KSHMP-EAAPDzB-24/56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Автовишка 16м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Автовишка 22м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2024.10.15.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KSHMP-EAAPDzB-24/56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KSHMP-EAAPDzB-24/56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KSHMP-EAAPDzB-24/56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KSHMP-EAAPDzB-24/56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"KSHMP-EAAPDzB-24/56"*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KSHMP-EAAPDzB-24/56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"KSHMP-EAAPDzB-24/56"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KSHMP-EAAPDzB-24/56*.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KSHMP-EAAPDzB-24/56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"KSHMP-EAAPDzB-24/56"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KSHMP-EAAPDzB-24/56*.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KSHMP-EAAPDzB-24/56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Автовишка 16м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дизельный.
.Объем двигателя – не менее 2,3 л.
.Мощность двигателя – не менее 120 л.с.
.Тип шины - 7.00/R16.
.Максимальная скорость - не менее 105 км/ч.
.Размеры шасси - 6450*2200*3100мм ± 1мм.
.Тип двигателя-4-цилиндровый.
.Максимальный подъемный вес корзины – не менее 220 кг.
.Площадь корзины -1+/-0,1м².
.Кабина водителя-3 места
.Коробка передач – 6-ступенчатая 6ТС40.
.Система рулевого управления – гидравлическая
.Общий вес: не более 8,75т.
.Топливный бак – не менее 90 л.
. высота – не менее 16м .
.Поворот: 360 градусов
.Угол въезда/съезда-20/11
.Скорость подъема камеры - не менее 0,5 м/В.
.Наличие кондиционера.
.Доступен ABC
.Стрела телескопический.
Год производства  2024. Товар должен быть новым, без дефектов. Передачу осуществит поставщик за свой счет.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Автовишка 22м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дизельный.
.Объем двигателя – не менее 2,97 л.
.Мощность двигателя – не менее 160 л.с.
.Тип шин-215/75R17,5.
.Максимальная скорость - не менее 105 км/ч.
.Габариты шасси - не менее 7800*2200*3250мм ± 1мм.
.Тип двигателя-4-цилиндровый.
.Максимальный подъемный вес корзины – не менее 260 кг.
.Площадь корзины -1+/-0,1м².
.Тип управления – электрогидравлический.
.Кабина водителя-3 места
.Коробка передач – 6-ступенчатая 6ТС55.
.Система рулевого управления – гидравлическая
.Общий вес: не более 7,6т.
.Максимальная скорость - не менее 105 км/ч.
.Топливный бак – не менее 200 л.
. высота - не менее 22м.
.Поворот: 360 градусов
.Угол въезда/съезда-20/11
. Скорость подъема камеры - не менее 0,5 м/В.
.Наличие кондиционера.
.Доступен ABC
.Стрела телескопический.
Год производства 2024. Товар должен быть новым, без дефектов. Передачу осуществит поставщик за свой счет. Гарантийный срок	12 месяцев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в течение 120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в течение 120 календарных дней со дня вступления в силу договора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