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05D" w:rsidRPr="007B4804" w:rsidRDefault="0086405D" w:rsidP="0086405D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both"/>
        <w:rPr>
          <w:rFonts w:ascii="Sylfaen" w:hAnsi="Sylfaen"/>
          <w:b/>
          <w:sz w:val="22"/>
          <w:szCs w:val="22"/>
          <w:lang w:val="hy-AM"/>
        </w:rPr>
      </w:pPr>
      <w:r w:rsidRPr="007B4804">
        <w:rPr>
          <w:rFonts w:ascii="Sylfaen" w:hAnsi="Sylfaen"/>
          <w:b/>
          <w:sz w:val="22"/>
          <w:szCs w:val="22"/>
          <w:lang w:val="es-ES"/>
        </w:rPr>
        <w:tab/>
        <w:t xml:space="preserve">                                                           </w:t>
      </w:r>
      <w:r w:rsidRPr="007B4804">
        <w:rPr>
          <w:rFonts w:ascii="Sylfaen" w:hAnsi="Sylfaen"/>
          <w:b/>
          <w:color w:val="0D0D0D" w:themeColor="text1" w:themeTint="F2"/>
          <w:sz w:val="22"/>
          <w:szCs w:val="22"/>
          <w:lang w:val="es-ES"/>
        </w:rPr>
        <w:t xml:space="preserve">  </w:t>
      </w:r>
      <w:r w:rsidRPr="007B4804">
        <w:rPr>
          <w:rFonts w:ascii="Sylfaen" w:hAnsi="Sylfaen"/>
          <w:b/>
          <w:sz w:val="22"/>
          <w:szCs w:val="22"/>
          <w:lang w:val="hy-AM"/>
        </w:rPr>
        <w:t xml:space="preserve">ՏԵԽՆԻԿԱԿԱՆ ԲՆՈՒԹԱԳԻՐ </w:t>
      </w:r>
    </w:p>
    <w:p w:rsidR="0086405D" w:rsidRPr="007B4804" w:rsidRDefault="0086405D" w:rsidP="0086405D">
      <w:pPr>
        <w:jc w:val="right"/>
        <w:rPr>
          <w:rFonts w:ascii="Sylfaen" w:hAnsi="Sylfaen"/>
          <w:sz w:val="22"/>
          <w:szCs w:val="22"/>
          <w:lang w:val="hy-AM"/>
        </w:rPr>
      </w:pPr>
      <w:r w:rsidRPr="007B4804">
        <w:rPr>
          <w:rFonts w:ascii="Sylfaen" w:hAnsi="Sylfaen"/>
          <w:sz w:val="22"/>
          <w:szCs w:val="22"/>
          <w:lang w:val="hy-AM"/>
        </w:rPr>
        <w:tab/>
      </w:r>
      <w:r w:rsidRPr="007B4804">
        <w:rPr>
          <w:rFonts w:ascii="Sylfaen" w:hAnsi="Sylfaen"/>
          <w:sz w:val="22"/>
          <w:szCs w:val="22"/>
          <w:lang w:val="hy-AM"/>
        </w:rPr>
        <w:tab/>
      </w:r>
      <w:r w:rsidRPr="007B4804">
        <w:rPr>
          <w:rFonts w:ascii="Sylfaen" w:hAnsi="Sylfaen"/>
          <w:sz w:val="22"/>
          <w:szCs w:val="22"/>
          <w:lang w:val="hy-AM"/>
        </w:rPr>
        <w:tab/>
      </w:r>
      <w:r w:rsidRPr="007B4804">
        <w:rPr>
          <w:rFonts w:ascii="Sylfaen" w:hAnsi="Sylfaen"/>
          <w:sz w:val="22"/>
          <w:szCs w:val="22"/>
          <w:lang w:val="hy-AM"/>
        </w:rPr>
        <w:tab/>
      </w:r>
      <w:r w:rsidRPr="007B4804">
        <w:rPr>
          <w:rFonts w:ascii="Sylfaen" w:hAnsi="Sylfaen"/>
          <w:sz w:val="22"/>
          <w:szCs w:val="22"/>
          <w:lang w:val="hy-AM"/>
        </w:rPr>
        <w:tab/>
      </w:r>
      <w:r w:rsidRPr="007B4804">
        <w:rPr>
          <w:rFonts w:ascii="Sylfaen" w:hAnsi="Sylfaen"/>
          <w:sz w:val="22"/>
          <w:szCs w:val="22"/>
          <w:lang w:val="hy-AM"/>
        </w:rPr>
        <w:tab/>
      </w:r>
      <w:r w:rsidRPr="007B4804">
        <w:rPr>
          <w:rFonts w:ascii="Sylfaen" w:hAnsi="Sylfaen"/>
          <w:sz w:val="22"/>
          <w:szCs w:val="22"/>
          <w:lang w:val="hy-AM"/>
        </w:rPr>
        <w:tab/>
      </w:r>
      <w:r w:rsidRPr="007B4804">
        <w:rPr>
          <w:rFonts w:ascii="Sylfaen" w:hAnsi="Sylfaen"/>
          <w:sz w:val="22"/>
          <w:szCs w:val="22"/>
          <w:lang w:val="hy-AM"/>
        </w:rPr>
        <w:tab/>
      </w:r>
      <w:r w:rsidRPr="007B4804">
        <w:rPr>
          <w:rFonts w:ascii="Sylfaen" w:hAnsi="Sylfaen"/>
          <w:sz w:val="22"/>
          <w:szCs w:val="22"/>
          <w:lang w:val="hy-AM"/>
        </w:rPr>
        <w:tab/>
      </w:r>
      <w:r w:rsidRPr="007B4804">
        <w:rPr>
          <w:rFonts w:ascii="Sylfaen" w:hAnsi="Sylfaen"/>
          <w:sz w:val="22"/>
          <w:szCs w:val="22"/>
          <w:lang w:val="hy-AM"/>
        </w:rPr>
        <w:tab/>
      </w:r>
      <w:r w:rsidRPr="007B4804">
        <w:rPr>
          <w:rFonts w:ascii="Sylfaen" w:hAnsi="Sylfaen"/>
          <w:sz w:val="22"/>
          <w:szCs w:val="22"/>
          <w:lang w:val="hy-AM"/>
        </w:rPr>
        <w:tab/>
        <w:t xml:space="preserve">                                                                </w:t>
      </w:r>
    </w:p>
    <w:tbl>
      <w:tblPr>
        <w:tblW w:w="1242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620"/>
        <w:gridCol w:w="1951"/>
        <w:gridCol w:w="3969"/>
        <w:gridCol w:w="830"/>
        <w:gridCol w:w="810"/>
        <w:gridCol w:w="720"/>
        <w:gridCol w:w="1530"/>
      </w:tblGrid>
      <w:tr w:rsidR="0086405D" w:rsidRPr="007B4804" w:rsidTr="006A793B">
        <w:trPr>
          <w:trHeight w:val="268"/>
        </w:trPr>
        <w:tc>
          <w:tcPr>
            <w:tcW w:w="990" w:type="dxa"/>
          </w:tcPr>
          <w:p w:rsidR="0086405D" w:rsidRPr="007B4804" w:rsidRDefault="0086405D" w:rsidP="0072736D">
            <w:pPr>
              <w:jc w:val="center"/>
              <w:rPr>
                <w:rFonts w:ascii="Sylfaen" w:hAnsi="Sylfaen" w:cs="Arial"/>
                <w:sz w:val="22"/>
                <w:szCs w:val="22"/>
                <w:lang w:val="es-ES"/>
              </w:rPr>
            </w:pPr>
          </w:p>
        </w:tc>
        <w:tc>
          <w:tcPr>
            <w:tcW w:w="11430" w:type="dxa"/>
            <w:gridSpan w:val="7"/>
          </w:tcPr>
          <w:p w:rsidR="0086405D" w:rsidRPr="007B4804" w:rsidRDefault="0086405D" w:rsidP="0072736D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7B4804">
              <w:rPr>
                <w:rFonts w:ascii="Sylfaen" w:hAnsi="Sylfaen" w:cs="Arial"/>
                <w:sz w:val="22"/>
                <w:szCs w:val="22"/>
              </w:rPr>
              <w:t>Ապրանքներ</w:t>
            </w:r>
            <w:proofErr w:type="spellEnd"/>
          </w:p>
        </w:tc>
      </w:tr>
      <w:tr w:rsidR="004F2299" w:rsidRPr="007B4804" w:rsidTr="006A793B">
        <w:trPr>
          <w:trHeight w:val="227"/>
        </w:trPr>
        <w:tc>
          <w:tcPr>
            <w:tcW w:w="990" w:type="dxa"/>
            <w:vMerge w:val="restart"/>
            <w:vAlign w:val="center"/>
          </w:tcPr>
          <w:p w:rsidR="004F2299" w:rsidRPr="007B4804" w:rsidRDefault="004F2299" w:rsidP="0072736D">
            <w:pPr>
              <w:tabs>
                <w:tab w:val="left" w:pos="0"/>
              </w:tabs>
              <w:jc w:val="center"/>
              <w:rPr>
                <w:rFonts w:ascii="Sylfaen" w:hAnsi="Sylfaen"/>
                <w:sz w:val="22"/>
                <w:szCs w:val="22"/>
              </w:rPr>
            </w:pPr>
            <w:r w:rsidRPr="007B4804">
              <w:rPr>
                <w:rFonts w:ascii="Sylfaen" w:hAnsi="Sylfaen" w:cs="Arial"/>
                <w:sz w:val="22"/>
                <w:szCs w:val="22"/>
                <w:lang w:val="hy-AM"/>
              </w:rPr>
              <w:t>հրավերով</w:t>
            </w:r>
            <w:r w:rsidRPr="007B4804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B4804">
              <w:rPr>
                <w:rFonts w:ascii="Sylfaen" w:hAnsi="Sylfaen" w:cs="Arial"/>
                <w:sz w:val="22"/>
                <w:szCs w:val="22"/>
              </w:rPr>
              <w:t>նախատեսված</w:t>
            </w:r>
            <w:proofErr w:type="spellEnd"/>
            <w:r w:rsidRPr="007B4804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B4804">
              <w:rPr>
                <w:rFonts w:ascii="Sylfaen" w:hAnsi="Sylfaen" w:cs="Arial"/>
                <w:sz w:val="22"/>
                <w:szCs w:val="22"/>
              </w:rPr>
              <w:t>չափաբաժնի</w:t>
            </w:r>
            <w:proofErr w:type="spellEnd"/>
            <w:r w:rsidRPr="007B4804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B4804">
              <w:rPr>
                <w:rFonts w:ascii="Sylfaen" w:hAnsi="Sylfaen" w:cs="Arial"/>
                <w:sz w:val="22"/>
                <w:szCs w:val="22"/>
              </w:rPr>
              <w:t>համարը</w:t>
            </w:r>
            <w:proofErr w:type="spellEnd"/>
          </w:p>
        </w:tc>
        <w:tc>
          <w:tcPr>
            <w:tcW w:w="1620" w:type="dxa"/>
            <w:vMerge w:val="restart"/>
            <w:vAlign w:val="center"/>
          </w:tcPr>
          <w:p w:rsidR="004F2299" w:rsidRPr="007B4804" w:rsidRDefault="004F2299" w:rsidP="0072736D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7B4804">
              <w:rPr>
                <w:rFonts w:ascii="Sylfaen" w:hAnsi="Sylfaen" w:cs="Arial"/>
                <w:sz w:val="22"/>
                <w:szCs w:val="22"/>
              </w:rPr>
              <w:t>գնումների</w:t>
            </w:r>
            <w:proofErr w:type="spellEnd"/>
            <w:r w:rsidRPr="007B4804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B4804">
              <w:rPr>
                <w:rFonts w:ascii="Sylfaen" w:hAnsi="Sylfaen" w:cs="Arial"/>
                <w:sz w:val="22"/>
                <w:szCs w:val="22"/>
              </w:rPr>
              <w:t>պլանով</w:t>
            </w:r>
            <w:proofErr w:type="spellEnd"/>
            <w:r w:rsidRPr="007B4804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B4804">
              <w:rPr>
                <w:rFonts w:ascii="Sylfaen" w:hAnsi="Sylfaen" w:cs="Arial"/>
                <w:sz w:val="22"/>
                <w:szCs w:val="22"/>
              </w:rPr>
              <w:t>նախատեսված</w:t>
            </w:r>
            <w:proofErr w:type="spellEnd"/>
            <w:r w:rsidRPr="007B4804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B4804">
              <w:rPr>
                <w:rFonts w:ascii="Sylfaen" w:hAnsi="Sylfaen" w:cs="Arial"/>
                <w:sz w:val="22"/>
                <w:szCs w:val="22"/>
              </w:rPr>
              <w:t>միջանցիկ</w:t>
            </w:r>
            <w:proofErr w:type="spellEnd"/>
            <w:r w:rsidRPr="007B4804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B4804">
              <w:rPr>
                <w:rFonts w:ascii="Sylfaen" w:hAnsi="Sylfaen" w:cs="Arial"/>
                <w:sz w:val="22"/>
                <w:szCs w:val="22"/>
              </w:rPr>
              <w:t>ծածկագիրը</w:t>
            </w:r>
            <w:proofErr w:type="spellEnd"/>
            <w:r w:rsidRPr="007B4804">
              <w:rPr>
                <w:rFonts w:ascii="Sylfaen" w:hAnsi="Sylfaen"/>
                <w:sz w:val="22"/>
                <w:szCs w:val="22"/>
              </w:rPr>
              <w:t xml:space="preserve">` </w:t>
            </w:r>
            <w:proofErr w:type="spellStart"/>
            <w:r w:rsidRPr="007B4804">
              <w:rPr>
                <w:rFonts w:ascii="Sylfaen" w:hAnsi="Sylfaen" w:cs="Arial"/>
                <w:sz w:val="22"/>
                <w:szCs w:val="22"/>
              </w:rPr>
              <w:t>ըստ</w:t>
            </w:r>
            <w:proofErr w:type="spellEnd"/>
            <w:r w:rsidRPr="007B4804">
              <w:rPr>
                <w:rFonts w:ascii="Sylfaen" w:hAnsi="Sylfaen"/>
                <w:sz w:val="22"/>
                <w:szCs w:val="22"/>
              </w:rPr>
              <w:t xml:space="preserve"> </w:t>
            </w:r>
            <w:r w:rsidRPr="007B4804">
              <w:rPr>
                <w:rFonts w:ascii="Sylfaen" w:hAnsi="Sylfaen" w:cs="Arial"/>
                <w:sz w:val="22"/>
                <w:szCs w:val="22"/>
              </w:rPr>
              <w:t>ԳՄԱ</w:t>
            </w:r>
            <w:r w:rsidRPr="007B4804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B4804">
              <w:rPr>
                <w:rFonts w:ascii="Sylfaen" w:hAnsi="Sylfaen" w:cs="Arial"/>
                <w:sz w:val="22"/>
                <w:szCs w:val="22"/>
              </w:rPr>
              <w:t>դասակարգման</w:t>
            </w:r>
            <w:proofErr w:type="spellEnd"/>
            <w:r w:rsidRPr="007B4804">
              <w:rPr>
                <w:rFonts w:ascii="Sylfaen" w:hAnsi="Sylfaen"/>
                <w:sz w:val="22"/>
                <w:szCs w:val="22"/>
              </w:rPr>
              <w:t xml:space="preserve"> (CPV)</w:t>
            </w:r>
            <w:r w:rsidRPr="007B4804">
              <w:rPr>
                <w:rStyle w:val="FootnoteReference"/>
                <w:rFonts w:ascii="Sylfaen" w:hAnsi="Sylfaen"/>
                <w:sz w:val="22"/>
                <w:szCs w:val="22"/>
              </w:rPr>
              <w:footnoteReference w:id="1"/>
            </w:r>
          </w:p>
        </w:tc>
        <w:tc>
          <w:tcPr>
            <w:tcW w:w="1951" w:type="dxa"/>
            <w:vMerge w:val="restart"/>
            <w:vAlign w:val="center"/>
          </w:tcPr>
          <w:p w:rsidR="004F2299" w:rsidRPr="007B4804" w:rsidRDefault="004F2299" w:rsidP="0072736D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proofErr w:type="spellStart"/>
            <w:r w:rsidRPr="007B4804">
              <w:rPr>
                <w:rFonts w:ascii="Sylfaen" w:hAnsi="Sylfaen" w:cs="Arial"/>
                <w:sz w:val="22"/>
                <w:szCs w:val="22"/>
                <w:lang w:val="ru-RU"/>
              </w:rPr>
              <w:t>անվանում</w:t>
            </w:r>
            <w:proofErr w:type="spellEnd"/>
          </w:p>
        </w:tc>
        <w:tc>
          <w:tcPr>
            <w:tcW w:w="3969" w:type="dxa"/>
            <w:vMerge w:val="restart"/>
            <w:vAlign w:val="center"/>
          </w:tcPr>
          <w:p w:rsidR="004F2299" w:rsidRPr="007B4804" w:rsidRDefault="004F2299" w:rsidP="0072736D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7B4804">
              <w:rPr>
                <w:rFonts w:ascii="Sylfaen" w:hAnsi="Sylfaen" w:cs="Arial"/>
                <w:sz w:val="22"/>
                <w:szCs w:val="22"/>
              </w:rPr>
              <w:t>տեխնիկական</w:t>
            </w:r>
            <w:proofErr w:type="spellEnd"/>
            <w:r w:rsidRPr="007B4804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B4804">
              <w:rPr>
                <w:rFonts w:ascii="Sylfaen" w:hAnsi="Sylfaen" w:cs="Arial"/>
                <w:sz w:val="22"/>
                <w:szCs w:val="22"/>
              </w:rPr>
              <w:t>բնութագիրը</w:t>
            </w:r>
            <w:proofErr w:type="spellEnd"/>
            <w:r w:rsidRPr="007B4804">
              <w:rPr>
                <w:rStyle w:val="FootnoteReference"/>
                <w:rFonts w:ascii="Sylfaen" w:hAnsi="Sylfaen" w:cs="Arial"/>
                <w:sz w:val="22"/>
                <w:szCs w:val="22"/>
              </w:rPr>
              <w:footnoteReference w:id="2"/>
            </w:r>
          </w:p>
        </w:tc>
        <w:tc>
          <w:tcPr>
            <w:tcW w:w="830" w:type="dxa"/>
            <w:vMerge w:val="restart"/>
            <w:vAlign w:val="center"/>
          </w:tcPr>
          <w:p w:rsidR="004F2299" w:rsidRPr="007B4804" w:rsidRDefault="004F2299" w:rsidP="0072736D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7B4804">
              <w:rPr>
                <w:rFonts w:ascii="Sylfaen" w:hAnsi="Sylfaen" w:cs="Arial"/>
                <w:sz w:val="22"/>
                <w:szCs w:val="22"/>
              </w:rPr>
              <w:t>չափման</w:t>
            </w:r>
            <w:proofErr w:type="spellEnd"/>
            <w:r w:rsidRPr="007B4804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B4804">
              <w:rPr>
                <w:rFonts w:ascii="Sylfaen" w:hAnsi="Sylfaen" w:cs="Arial"/>
                <w:sz w:val="22"/>
                <w:szCs w:val="22"/>
              </w:rPr>
              <w:t>միավորը</w:t>
            </w:r>
            <w:proofErr w:type="spellEnd"/>
          </w:p>
        </w:tc>
        <w:tc>
          <w:tcPr>
            <w:tcW w:w="810" w:type="dxa"/>
            <w:vMerge w:val="restart"/>
            <w:vAlign w:val="center"/>
          </w:tcPr>
          <w:p w:rsidR="004F2299" w:rsidRPr="007B4804" w:rsidRDefault="004F2299" w:rsidP="0072736D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7B4804">
              <w:rPr>
                <w:rFonts w:ascii="Sylfaen" w:hAnsi="Sylfaen" w:cs="Arial"/>
                <w:sz w:val="22"/>
                <w:szCs w:val="22"/>
              </w:rPr>
              <w:t>ընդհանուր</w:t>
            </w:r>
            <w:proofErr w:type="spellEnd"/>
            <w:r w:rsidRPr="007B4804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B4804">
              <w:rPr>
                <w:rFonts w:ascii="Sylfaen" w:hAnsi="Sylfaen" w:cs="Arial"/>
                <w:sz w:val="22"/>
                <w:szCs w:val="22"/>
              </w:rPr>
              <w:t>քանակը</w:t>
            </w:r>
            <w:proofErr w:type="spellEnd"/>
          </w:p>
        </w:tc>
        <w:tc>
          <w:tcPr>
            <w:tcW w:w="2250" w:type="dxa"/>
            <w:gridSpan w:val="2"/>
            <w:vAlign w:val="center"/>
          </w:tcPr>
          <w:p w:rsidR="004F2299" w:rsidRPr="007B4804" w:rsidRDefault="004F2299" w:rsidP="0072736D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proofErr w:type="spellStart"/>
            <w:r w:rsidRPr="007B4804">
              <w:rPr>
                <w:rFonts w:ascii="Sylfaen" w:hAnsi="Sylfaen" w:cs="Arial"/>
                <w:sz w:val="22"/>
                <w:szCs w:val="22"/>
                <w:lang w:val="ru-RU"/>
              </w:rPr>
              <w:t>մատակարարման</w:t>
            </w:r>
            <w:proofErr w:type="spellEnd"/>
          </w:p>
        </w:tc>
      </w:tr>
      <w:tr w:rsidR="004F2299" w:rsidRPr="007B4804" w:rsidTr="006A793B">
        <w:trPr>
          <w:trHeight w:val="427"/>
        </w:trPr>
        <w:tc>
          <w:tcPr>
            <w:tcW w:w="990" w:type="dxa"/>
            <w:vMerge/>
            <w:vAlign w:val="center"/>
          </w:tcPr>
          <w:p w:rsidR="004F2299" w:rsidRPr="007B4804" w:rsidRDefault="004F2299" w:rsidP="0072736D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4F2299" w:rsidRPr="007B4804" w:rsidRDefault="004F2299" w:rsidP="0072736D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951" w:type="dxa"/>
            <w:vMerge/>
            <w:vAlign w:val="center"/>
          </w:tcPr>
          <w:p w:rsidR="004F2299" w:rsidRPr="007B4804" w:rsidRDefault="004F2299" w:rsidP="0072736D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3969" w:type="dxa"/>
            <w:vMerge/>
            <w:vAlign w:val="center"/>
          </w:tcPr>
          <w:p w:rsidR="004F2299" w:rsidRPr="007B4804" w:rsidRDefault="004F2299" w:rsidP="0072736D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830" w:type="dxa"/>
            <w:vMerge/>
            <w:vAlign w:val="center"/>
          </w:tcPr>
          <w:p w:rsidR="004F2299" w:rsidRPr="007B4804" w:rsidRDefault="004F2299" w:rsidP="0072736D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810" w:type="dxa"/>
            <w:vMerge/>
            <w:vAlign w:val="center"/>
          </w:tcPr>
          <w:p w:rsidR="004F2299" w:rsidRPr="007B4804" w:rsidRDefault="004F2299" w:rsidP="0072736D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4F2299" w:rsidRPr="007B4804" w:rsidRDefault="004F2299" w:rsidP="0072736D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7B4804">
              <w:rPr>
                <w:rStyle w:val="FootnoteReference"/>
                <w:rFonts w:ascii="Sylfaen" w:hAnsi="Sylfaen" w:cs="Arial"/>
                <w:sz w:val="22"/>
                <w:szCs w:val="22"/>
              </w:rPr>
              <w:footnoteReference w:id="3"/>
            </w:r>
            <w:proofErr w:type="spellStart"/>
            <w:r w:rsidRPr="007B4804">
              <w:rPr>
                <w:rFonts w:ascii="Sylfaen" w:hAnsi="Sylfaen" w:cs="Arial"/>
                <w:sz w:val="22"/>
                <w:szCs w:val="22"/>
              </w:rPr>
              <w:t>Հասցեն</w:t>
            </w:r>
            <w:proofErr w:type="spellEnd"/>
          </w:p>
          <w:p w:rsidR="004F2299" w:rsidRPr="007B4804" w:rsidRDefault="004F2299" w:rsidP="0072736D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:rsidR="004F2299" w:rsidRPr="007B4804" w:rsidRDefault="004F2299" w:rsidP="0072736D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7B4804">
              <w:rPr>
                <w:rFonts w:ascii="Sylfaen" w:hAnsi="Sylfaen" w:cs="Arial"/>
                <w:sz w:val="22"/>
                <w:szCs w:val="22"/>
              </w:rPr>
              <w:t>Ժամկետը</w:t>
            </w:r>
            <w:proofErr w:type="spellEnd"/>
            <w:r w:rsidRPr="007B4804">
              <w:rPr>
                <w:rFonts w:ascii="Sylfaen" w:hAnsi="Sylfaen"/>
                <w:sz w:val="22"/>
                <w:szCs w:val="22"/>
              </w:rPr>
              <w:t>**</w:t>
            </w:r>
            <w:r w:rsidRPr="007B4804">
              <w:rPr>
                <w:rStyle w:val="FootnoteReference"/>
                <w:rFonts w:ascii="Sylfaen" w:hAnsi="Sylfaen"/>
                <w:sz w:val="22"/>
                <w:szCs w:val="22"/>
              </w:rPr>
              <w:footnoteReference w:id="4"/>
            </w:r>
          </w:p>
        </w:tc>
        <w:bookmarkStart w:id="0" w:name="_GoBack"/>
        <w:bookmarkEnd w:id="0"/>
      </w:tr>
      <w:tr w:rsidR="004F2299" w:rsidRPr="007B4804" w:rsidTr="006A793B">
        <w:trPr>
          <w:trHeight w:val="362"/>
        </w:trPr>
        <w:tc>
          <w:tcPr>
            <w:tcW w:w="990" w:type="dxa"/>
          </w:tcPr>
          <w:p w:rsidR="004F2299" w:rsidRPr="007B4804" w:rsidRDefault="004F2299" w:rsidP="0072736D">
            <w:pPr>
              <w:jc w:val="center"/>
              <w:rPr>
                <w:rFonts w:ascii="Sylfaen" w:hAnsi="Sylfaen"/>
                <w:color w:val="262626" w:themeColor="text1" w:themeTint="D9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/>
                <w:color w:val="262626" w:themeColor="text1" w:themeTint="D9"/>
                <w:sz w:val="22"/>
                <w:szCs w:val="22"/>
                <w:lang w:val="ru-RU"/>
              </w:rPr>
              <w:t>1</w:t>
            </w:r>
          </w:p>
        </w:tc>
        <w:tc>
          <w:tcPr>
            <w:tcW w:w="1620" w:type="dxa"/>
          </w:tcPr>
          <w:p w:rsidR="004F2299" w:rsidRPr="007B4804" w:rsidRDefault="004F2299" w:rsidP="0072736D">
            <w:pPr>
              <w:jc w:val="center"/>
              <w:rPr>
                <w:rFonts w:ascii="Sylfaen" w:hAnsi="Sylfaen"/>
                <w:color w:val="403931"/>
                <w:sz w:val="22"/>
                <w:szCs w:val="22"/>
                <w:shd w:val="clear" w:color="auto" w:fill="FFFFFF"/>
                <w:vertAlign w:val="superscript"/>
              </w:rPr>
            </w:pPr>
            <w:r w:rsidRPr="007B4804">
              <w:rPr>
                <w:rFonts w:ascii="Sylfaen" w:hAnsi="Sylfaen"/>
                <w:color w:val="403931"/>
                <w:sz w:val="22"/>
                <w:szCs w:val="22"/>
                <w:shd w:val="clear" w:color="auto" w:fill="FFFFFF"/>
              </w:rPr>
              <w:t>38591200 </w:t>
            </w:r>
            <w:r w:rsidRPr="007B4804">
              <w:rPr>
                <w:rFonts w:ascii="Sylfaen" w:hAnsi="Sylfaen"/>
                <w:color w:val="403931"/>
                <w:sz w:val="22"/>
                <w:szCs w:val="22"/>
                <w:shd w:val="clear" w:color="auto" w:fill="FFFFFF"/>
                <w:vertAlign w:val="superscript"/>
              </w:rPr>
              <w:t>/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/>
                <w:sz w:val="22"/>
                <w:szCs w:val="22"/>
                <w:highlight w:val="yellow"/>
              </w:rPr>
            </w:pPr>
            <w:r w:rsidRPr="007B4804">
              <w:rPr>
                <w:rFonts w:ascii="Sylfaen" w:hAnsi="Sylfaen"/>
                <w:color w:val="403931"/>
                <w:sz w:val="22"/>
                <w:szCs w:val="22"/>
                <w:shd w:val="clear" w:color="auto" w:fill="FFFFFF"/>
                <w:vertAlign w:val="superscript"/>
              </w:rPr>
              <w:t>508</w:t>
            </w:r>
          </w:p>
        </w:tc>
        <w:tc>
          <w:tcPr>
            <w:tcW w:w="1951" w:type="dxa"/>
            <w:vAlign w:val="center"/>
          </w:tcPr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</w:rPr>
            </w:pPr>
            <w:r w:rsidRPr="007B4804">
              <w:rPr>
                <w:rFonts w:ascii="Sylfaen" w:hAnsi="Sylfaen" w:cs="Sylfaen"/>
                <w:sz w:val="22"/>
                <w:szCs w:val="22"/>
              </w:rPr>
              <w:t>pH/</w:t>
            </w: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ՕՎՊ/ջերմաստիճան-ի իոնաչափիչ սարք իր էլէկտրոդներով</w:t>
            </w:r>
          </w:p>
        </w:tc>
        <w:tc>
          <w:tcPr>
            <w:tcW w:w="3969" w:type="dxa"/>
            <w:vAlign w:val="center"/>
          </w:tcPr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</w:rPr>
            </w:pPr>
            <w:r w:rsidRPr="007B4804">
              <w:rPr>
                <w:rFonts w:ascii="Sylfaen" w:hAnsi="Sylfaen" w:cs="Sylfaen"/>
                <w:sz w:val="22"/>
                <w:szCs w:val="22"/>
              </w:rPr>
              <w:t xml:space="preserve">Milwaukee, Hannah Instruments </w:t>
            </w: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 xml:space="preserve">կամ </w:t>
            </w:r>
            <w:proofErr w:type="spellStart"/>
            <w:r w:rsidRPr="007B4804">
              <w:rPr>
                <w:rFonts w:ascii="Sylfaen" w:hAnsi="Sylfaen" w:cs="Sylfaen"/>
                <w:sz w:val="22"/>
                <w:szCs w:val="22"/>
              </w:rPr>
              <w:t>Mettler</w:t>
            </w:r>
            <w:proofErr w:type="spellEnd"/>
            <w:r w:rsidRPr="007B4804">
              <w:rPr>
                <w:rFonts w:ascii="Sylfaen" w:hAnsi="Sylfaen" w:cs="Sylfaen"/>
                <w:sz w:val="22"/>
                <w:szCs w:val="22"/>
              </w:rPr>
              <w:t xml:space="preserve"> Toledo. 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Չափման 3-ը-1-ում իոնաչափը նախատեսված է տարբեր</w:t>
            </w:r>
            <w:r w:rsidRPr="007B4804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մածուցիկության</w:t>
            </w:r>
            <w:r w:rsidRPr="007B4804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նմուշների հետ աշխատելու համար և լայնորեն օգտագործվում է ոլորտներում, որտեղ այլ pH</w:t>
            </w:r>
            <w:r w:rsidRPr="007B4804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մետրերը և էլեկտրոդները հաճախ խափանվում են: Այն ունի երկակի միացմամբ էլեկտրոդ, որը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Arial"/>
                <w:color w:val="232323"/>
                <w:spacing w:val="5"/>
                <w:sz w:val="22"/>
                <w:szCs w:val="22"/>
                <w:shd w:val="clear" w:color="auto" w:fill="F9F9F9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կարելի է վերալիցքավորել և հեշտությամբ մաքրել: Սարքը իդեալական է գարեջրագործության</w:t>
            </w:r>
            <w:r w:rsidRPr="007B4804">
              <w:rPr>
                <w:rFonts w:ascii="Sylfaen" w:hAnsi="Sylfaen" w:cs="Arial"/>
                <w:color w:val="232323"/>
                <w:spacing w:val="5"/>
                <w:sz w:val="22"/>
                <w:szCs w:val="22"/>
                <w:shd w:val="clear" w:color="auto" w:fill="F9F9F9"/>
                <w:lang w:val="hy-AM"/>
              </w:rPr>
              <w:t>,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>գինեգործության, հիդրոպոնիկայի, լաբորատորիաների և ջրի մաքրման համակարգերում օգտագործելու համար՝ ապահովելով արագ և ճշգրիտ արդյունքներ: Իոնաչափը տրամաչափվում է 3 կետով և 7 ստանդարտ բուֆերային արժեքներով, ինչը թույլ է տալիս հասնել զգալիորեն ավելի բարձր ճշգրտության՝ համեմատած մեկ կամ երկու կետով տրամաչափվող սարքերի հետ: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Իոնաչափը ապահովում է մինչև ±0,01 pH ճշգրտություն, ինչը 5 անգամ ավելի բարձր է, քան որոշ այլընտրանքային մոդելների մոտ: Հավաքածուն ներառում է երկշերտ pH էլեկտրոդ և ջերմաստիճանի սենսոր, ինչը թույլ է տալիս սարքին ավտոմատ կերպով ավելի ճշգրիտ դարձնելpH ցուցմունքները՝ կախված ջերմաստիճանից (ATC): Այն նաև կարելի է օգտագործել որպես բարձր ճշգրտության ջերմաչափ՝ ±0,4°C | ±0,8°F: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 xml:space="preserve">Սարքը հագեցած է վերալիցքավորվող ապակե pH էլեկտրոդով՝ BNC միացման հատվածով, ինչը ապահովում է էլեկտրոդի հեշտ փոխարինումը այլ էլեկտրոդով անհրաժեշտության դեպքում: Իոնաչափի կառուցվածքը </w:t>
            </w: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 xml:space="preserve">պահանջում է նվազագույն սպասարկում և կիրառելի է բարդ նմուշների հետ աշխատելու համար՝ շնորհիվ կրկնակի անցման: 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b/>
                <w:bCs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b/>
                <w:bCs/>
                <w:sz w:val="22"/>
                <w:szCs w:val="22"/>
                <w:lang w:val="hy-AM"/>
              </w:rPr>
              <w:t>Հիմնական առավելությունները.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- Իոնաչափը հեշտ և պարզ է օգտագործելը՝ բավական է տեղադրել էլեկտրոդը և ջերմաչափը նմուշի մեջ, խառնել և սպասել ցուցմունքների կայունացմանը: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- Բարձր ճշգրտություն՝ մինչև ±0,01 pH և ±0,4°C: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- Չափումների լայն միջակայք՝ -2,00-ից մինչև 20,00 pH: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- Ավտոմատ տրամաչափում 3 կետով՝ 7 pH բուֆերի ընտրության հնարավորությամբ (1,68,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4,01, 6,86, 7,01, 9,18, 10,01 և 12,45):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- pH էլեկտրոդ՝ կրկնակի կամրջակով և պտուտակային կափարիչով՝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պատշաճ պահպանման համար: Ներքին լուծույթի պարբերաբար ավելացման հնարավորությամբ։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- Ավտոմատ ջերմաստիճանային կառավարում (ATC):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- Ներկառուցված վերալիցքավորվող մարտկոց՝ 8 ժամ աշխատանքի տևողությամբ (մարտկոցը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ներառված է հավաքածուի մեջ):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- Տառաթվային էկրան՝ նախազգուշացումներով և սխալների հաղորդագրություններով: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>- Ներքին ժամացույց՝ ժամանակից կախված տարբեր ֆունկցիաների հետևման համար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(տրամաչափում, ժամանակային կնիք, տրամաչափման ժամկետ):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- GLP ստեղնի հատուկ ֆունկցիա: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- 3 առանձին էլեկտրոդների միացման լարեր՝ թեստավորման լրացուցիչ ճկունության համար: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 xml:space="preserve">- </w:t>
            </w:r>
            <w:r w:rsidRPr="007B4804">
              <w:rPr>
                <w:rFonts w:ascii="Sylfaen" w:hAnsi="Sylfaen" w:cs="Sylfaen"/>
                <w:b/>
                <w:bCs/>
                <w:sz w:val="22"/>
                <w:szCs w:val="22"/>
                <w:lang w:val="hy-AM"/>
              </w:rPr>
              <w:t>ՕՎՊ (օքսիդացման-վերականգնման պոտենցիալ) էլեկտրոդ՝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Արտաքին տեսքը՝ PEI խեժ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Համեմատական՝ կրկնակի, Ag/AgCl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Միացում՝ կերամիկական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Էլեկտրոլիտ՝ գել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ՕՎՊ միջակայք՝ ±2000 մՎ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Ծայրը՝ պլատինե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Չափսերը՝ 6,4 դյույմ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Առաջարկվող աշխատանքային ջերմաստիճան՝ -5-ից մինչև 70°C (23-ից մինչև 158°F)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Միացման լարի երկարությունը՝ 6,6 ոտնաչափ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Միացում՝ BNC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Առկա է արտադրողի սերտիֆիկատ։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Arial"/>
                <w:sz w:val="22"/>
                <w:szCs w:val="22"/>
                <w:lang w:val="hy-AM"/>
              </w:rPr>
              <w:t>Ապրանքները պետք է լինի նոր, չօգտագործված, փաթեթը չվնասված և ապահովված համապատասխան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Arial"/>
                <w:sz w:val="22"/>
                <w:szCs w:val="22"/>
                <w:lang w:val="hy-AM"/>
              </w:rPr>
              <w:lastRenderedPageBreak/>
              <w:t>պահպանման պայմաններով մատակարարման ամբողջ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Arial"/>
                <w:sz w:val="22"/>
                <w:szCs w:val="22"/>
                <w:lang w:val="hy-AM"/>
              </w:rPr>
              <w:t>ընթացքում: Մատակարարումից առաջ համաձայնեցնել պատվիրատուի հետ: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Arial"/>
                <w:color w:val="232323"/>
                <w:spacing w:val="5"/>
                <w:sz w:val="22"/>
                <w:szCs w:val="22"/>
                <w:shd w:val="clear" w:color="auto" w:fill="F9F9F9"/>
                <w:lang w:val="hy-AM"/>
              </w:rPr>
            </w:pPr>
          </w:p>
          <w:p w:rsidR="004F2299" w:rsidRPr="007B4804" w:rsidRDefault="004F2299" w:rsidP="0072736D">
            <w:pPr>
              <w:jc w:val="center"/>
              <w:rPr>
                <w:rFonts w:ascii="Sylfaen" w:hAnsi="Sylfaen" w:cs="Arial"/>
                <w:color w:val="232323"/>
                <w:spacing w:val="5"/>
                <w:sz w:val="22"/>
                <w:szCs w:val="22"/>
                <w:shd w:val="clear" w:color="auto" w:fill="F9F9F9"/>
                <w:lang w:val="hy-AM"/>
              </w:rPr>
            </w:pPr>
            <w:r w:rsidRPr="007B4804">
              <w:rPr>
                <w:rFonts w:ascii="Sylfaen" w:hAnsi="Sylfaen" w:cs="Arial"/>
                <w:noProof/>
                <w:color w:val="232323"/>
                <w:spacing w:val="5"/>
                <w:sz w:val="22"/>
                <w:szCs w:val="22"/>
                <w:shd w:val="clear" w:color="auto" w:fill="F9F9F9"/>
                <w:lang w:eastAsia="en-US"/>
              </w:rPr>
              <w:drawing>
                <wp:inline distT="0" distB="0" distL="0" distR="0" wp14:anchorId="0924B913" wp14:editId="60DCBE14">
                  <wp:extent cx="1493520" cy="13049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520" cy="1304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Arial"/>
                <w:color w:val="232323"/>
                <w:spacing w:val="5"/>
                <w:sz w:val="22"/>
                <w:szCs w:val="22"/>
                <w:shd w:val="clear" w:color="auto" w:fill="F9F9F9"/>
                <w:lang w:val="hy-AM"/>
              </w:rPr>
            </w:pPr>
            <w:r w:rsidRPr="007B4804">
              <w:rPr>
                <w:rFonts w:ascii="Sylfaen" w:hAnsi="Sylfaen" w:cs="Arial"/>
                <w:noProof/>
                <w:color w:val="232323"/>
                <w:spacing w:val="5"/>
                <w:sz w:val="22"/>
                <w:szCs w:val="22"/>
                <w:shd w:val="clear" w:color="auto" w:fill="F9F9F9"/>
                <w:lang w:eastAsia="en-US"/>
              </w:rPr>
              <w:drawing>
                <wp:inline distT="0" distB="0" distL="0" distR="0" wp14:anchorId="0F74FD9B" wp14:editId="1631CBD9">
                  <wp:extent cx="1219200" cy="585470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585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" w:type="dxa"/>
          </w:tcPr>
          <w:p w:rsidR="004F2299" w:rsidRPr="007B4804" w:rsidRDefault="004F2299" w:rsidP="0072736D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  <w:proofErr w:type="spellStart"/>
            <w:r w:rsidRPr="007B4804">
              <w:rPr>
                <w:rFonts w:ascii="Sylfaen" w:hAnsi="Sylfaen" w:cs="Arial"/>
                <w:sz w:val="22"/>
                <w:szCs w:val="22"/>
              </w:rPr>
              <w:lastRenderedPageBreak/>
              <w:t>հատ</w:t>
            </w:r>
            <w:proofErr w:type="spellEnd"/>
          </w:p>
        </w:tc>
        <w:tc>
          <w:tcPr>
            <w:tcW w:w="810" w:type="dxa"/>
          </w:tcPr>
          <w:p w:rsidR="004F2299" w:rsidRPr="007B4804" w:rsidRDefault="004F2299" w:rsidP="0072736D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Arial"/>
                <w:sz w:val="22"/>
                <w:szCs w:val="22"/>
                <w:lang w:val="hy-AM"/>
              </w:rPr>
              <w:t>2</w:t>
            </w:r>
          </w:p>
        </w:tc>
        <w:tc>
          <w:tcPr>
            <w:tcW w:w="720" w:type="dxa"/>
          </w:tcPr>
          <w:p w:rsidR="004F2299" w:rsidRPr="007B4804" w:rsidRDefault="004F2299" w:rsidP="0072736D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Arial"/>
                <w:sz w:val="22"/>
                <w:szCs w:val="22"/>
                <w:lang w:val="hy-AM"/>
              </w:rPr>
              <w:t>Ալեք Մանուկյան 1</w:t>
            </w:r>
            <w:r w:rsidRPr="007B4804">
              <w:rPr>
                <w:rFonts w:ascii="Sylfaen" w:hAnsi="Sylfaen" w:cs="Arial"/>
                <w:sz w:val="22"/>
                <w:szCs w:val="22"/>
                <w:lang w:val="ru-RU"/>
              </w:rPr>
              <w:t>/3</w:t>
            </w:r>
          </w:p>
          <w:p w:rsidR="004F2299" w:rsidRPr="007B4804" w:rsidRDefault="004F2299" w:rsidP="0072736D">
            <w:pPr>
              <w:tabs>
                <w:tab w:val="left" w:pos="0"/>
              </w:tabs>
              <w:rPr>
                <w:rFonts w:ascii="Sylfaen" w:hAnsi="Sylfaen" w:cs="Arial"/>
                <w:sz w:val="22"/>
                <w:szCs w:val="22"/>
                <w:lang w:val="ru-RU"/>
              </w:rPr>
            </w:pPr>
          </w:p>
        </w:tc>
        <w:tc>
          <w:tcPr>
            <w:tcW w:w="1530" w:type="dxa"/>
            <w:vAlign w:val="center"/>
          </w:tcPr>
          <w:p w:rsidR="004F2299" w:rsidRPr="007B4804" w:rsidRDefault="004F2299" w:rsidP="0072736D">
            <w:pPr>
              <w:rPr>
                <w:rFonts w:ascii="Sylfaen" w:hAnsi="Sylfaen" w:cs="Arial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Arial"/>
                <w:sz w:val="22"/>
                <w:szCs w:val="22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</w:t>
            </w:r>
            <w:r w:rsidRPr="007B4804">
              <w:rPr>
                <w:rFonts w:ascii="Sylfaen" w:hAnsi="Sylfaen" w:cs="Arial"/>
                <w:sz w:val="22"/>
                <w:szCs w:val="22"/>
                <w:lang w:val="hy-AM"/>
              </w:rPr>
              <w:lastRenderedPageBreak/>
              <w:t>գրի ուժի մեջ մտնելուց հետո 3</w:t>
            </w:r>
            <w:r w:rsidRPr="007B4804">
              <w:rPr>
                <w:rFonts w:ascii="Sylfaen" w:hAnsi="Sylfaen" w:cs="Arial"/>
                <w:sz w:val="22"/>
                <w:szCs w:val="22"/>
                <w:lang w:val="ru-RU"/>
              </w:rPr>
              <w:t xml:space="preserve"> </w:t>
            </w:r>
            <w:r w:rsidRPr="007B4804">
              <w:rPr>
                <w:rFonts w:ascii="Sylfaen" w:hAnsi="Sylfaen" w:cs="Arial"/>
                <w:sz w:val="22"/>
                <w:szCs w:val="22"/>
                <w:lang w:val="hy-AM"/>
              </w:rPr>
              <w:t>ամսվա ընթացքում</w:t>
            </w:r>
          </w:p>
        </w:tc>
      </w:tr>
      <w:tr w:rsidR="004F2299" w:rsidRPr="007B4804" w:rsidTr="006A793B">
        <w:trPr>
          <w:trHeight w:val="362"/>
        </w:trPr>
        <w:tc>
          <w:tcPr>
            <w:tcW w:w="990" w:type="dxa"/>
          </w:tcPr>
          <w:p w:rsidR="004F2299" w:rsidRPr="007B4804" w:rsidRDefault="004F2299" w:rsidP="0072736D">
            <w:pPr>
              <w:jc w:val="center"/>
              <w:rPr>
                <w:rFonts w:ascii="Sylfaen" w:hAnsi="Sylfaen"/>
                <w:color w:val="262626" w:themeColor="text1" w:themeTint="D9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/>
                <w:color w:val="262626" w:themeColor="text1" w:themeTint="D9"/>
                <w:sz w:val="22"/>
                <w:szCs w:val="22"/>
                <w:lang w:val="ru-RU"/>
              </w:rPr>
              <w:lastRenderedPageBreak/>
              <w:t>2</w:t>
            </w:r>
          </w:p>
        </w:tc>
        <w:tc>
          <w:tcPr>
            <w:tcW w:w="1620" w:type="dxa"/>
          </w:tcPr>
          <w:p w:rsidR="004F2299" w:rsidRPr="007B4804" w:rsidRDefault="004F2299" w:rsidP="0072736D">
            <w:pPr>
              <w:jc w:val="center"/>
              <w:rPr>
                <w:rFonts w:ascii="Sylfaen" w:hAnsi="Sylfaen"/>
                <w:sz w:val="22"/>
                <w:szCs w:val="22"/>
                <w:highlight w:val="yellow"/>
              </w:rPr>
            </w:pPr>
            <w:r w:rsidRPr="007B4804">
              <w:rPr>
                <w:rFonts w:ascii="Sylfaen" w:hAnsi="Sylfaen"/>
                <w:sz w:val="22"/>
                <w:szCs w:val="22"/>
              </w:rPr>
              <w:t>42921180/509</w:t>
            </w:r>
          </w:p>
        </w:tc>
        <w:tc>
          <w:tcPr>
            <w:tcW w:w="1951" w:type="dxa"/>
            <w:vAlign w:val="center"/>
          </w:tcPr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</w:rPr>
            </w:pPr>
            <w:r w:rsidRPr="007B4804">
              <w:rPr>
                <w:rFonts w:ascii="Sylfaen" w:hAnsi="Sylfaen" w:cs="Arial"/>
                <w:sz w:val="22"/>
                <w:szCs w:val="22"/>
                <w:lang w:val="hy-AM"/>
              </w:rPr>
              <w:t>Անալիտիկ կշեռք, ներքին կարգավորմամբ</w:t>
            </w: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4F2299" w:rsidRPr="007B4804" w:rsidRDefault="004F2299" w:rsidP="0072736D">
            <w:pPr>
              <w:rPr>
                <w:rFonts w:ascii="Sylfaen" w:hAnsi="Sylfaen" w:cs="Tahoma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Arial"/>
                <w:sz w:val="22"/>
                <w:szCs w:val="22"/>
                <w:lang w:val="hy-AM"/>
              </w:rPr>
              <w:t>Ճշգրտությունը՝ 0</w:t>
            </w:r>
            <w:r w:rsidRPr="007B4804">
              <w:rPr>
                <w:rFonts w:ascii="Times New Roman" w:eastAsia="MS Mincho" w:hAnsi="Times New Roman"/>
                <w:sz w:val="22"/>
                <w:szCs w:val="22"/>
                <w:lang w:val="hy-AM"/>
              </w:rPr>
              <w:t>․</w:t>
            </w: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 xml:space="preserve">1 </w:t>
            </w: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մգ</w:t>
            </w:r>
          </w:p>
          <w:p w:rsidR="004F2299" w:rsidRPr="007B4804" w:rsidRDefault="004F2299" w:rsidP="0072736D">
            <w:pPr>
              <w:rPr>
                <w:rFonts w:ascii="Sylfaen" w:hAnsi="Sylfaen" w:cs="Tahoma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>Ունենա LED հպումային էկրան</w:t>
            </w:r>
          </w:p>
          <w:p w:rsidR="004F2299" w:rsidRPr="007B4804" w:rsidRDefault="004F2299" w:rsidP="0072736D">
            <w:pPr>
              <w:rPr>
                <w:rFonts w:ascii="Sylfaen" w:hAnsi="Sylfaen" w:cs="Tahoma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>Կշռման բջիջը պետք է լինի մոնոլիտային՝ պատրաստված 1 ամբողջական կտորից</w:t>
            </w:r>
          </w:p>
          <w:p w:rsidR="004F2299" w:rsidRPr="007B4804" w:rsidRDefault="004F2299" w:rsidP="0072736D">
            <w:pPr>
              <w:rPr>
                <w:rFonts w:ascii="Sylfaen" w:hAnsi="Sylfaen" w:cs="Tahoma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>Ավտոմատ կալիբրացիայի և կարգավորման հնարավորություն</w:t>
            </w:r>
          </w:p>
          <w:p w:rsidR="004F2299" w:rsidRPr="007B4804" w:rsidRDefault="004F2299" w:rsidP="0072736D">
            <w:pPr>
              <w:rPr>
                <w:rFonts w:ascii="Sylfaen" w:hAnsi="Sylfaen" w:cs="Tahoma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>Առնվազն 12 ներկառուցված կիրառական ծրագրերի առկայություն՝ այդ թվում՝</w:t>
            </w:r>
          </w:p>
          <w:p w:rsidR="004F2299" w:rsidRPr="007B4804" w:rsidRDefault="004F2299" w:rsidP="0086405D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Sylfaen" w:hAnsi="Sylfaen" w:cs="Tahoma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>Կենդանիների կշռում</w:t>
            </w:r>
          </w:p>
          <w:p w:rsidR="004F2299" w:rsidRPr="007B4804" w:rsidRDefault="004F2299" w:rsidP="0086405D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Sylfaen" w:hAnsi="Sylfaen" w:cs="Tahoma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>Հաշվարկ / ազատ ֆակտոր</w:t>
            </w:r>
          </w:p>
          <w:p w:rsidR="004F2299" w:rsidRPr="007B4804" w:rsidRDefault="004F2299" w:rsidP="0086405D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Sylfaen" w:hAnsi="Sylfaen" w:cs="Tahoma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>Հաշվում</w:t>
            </w:r>
          </w:p>
          <w:p w:rsidR="004F2299" w:rsidRPr="007B4804" w:rsidRDefault="004F2299" w:rsidP="0086405D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Sylfaen" w:hAnsi="Sylfaen" w:cs="Tahoma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>Խտության որոշում</w:t>
            </w:r>
          </w:p>
          <w:p w:rsidR="004F2299" w:rsidRPr="007B4804" w:rsidRDefault="004F2299" w:rsidP="0086405D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Sylfaen" w:hAnsi="Sylfaen" w:cs="Tahoma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lastRenderedPageBreak/>
              <w:t>Տոկոսային պարունակության որոշում</w:t>
            </w:r>
          </w:p>
          <w:p w:rsidR="004F2299" w:rsidRPr="007B4804" w:rsidRDefault="004F2299" w:rsidP="0086405D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Sylfaen" w:hAnsi="Sylfaen" w:cs="Tahoma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>Կշռում</w:t>
            </w:r>
          </w:p>
          <w:p w:rsidR="004F2299" w:rsidRPr="007B4804" w:rsidRDefault="004F2299" w:rsidP="0086405D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Sylfaen" w:hAnsi="Sylfaen" w:cs="Tahoma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>Դոզավորում</w:t>
            </w:r>
          </w:p>
          <w:p w:rsidR="004F2299" w:rsidRPr="007B4804" w:rsidRDefault="004F2299" w:rsidP="0086405D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Sylfaen" w:hAnsi="Sylfaen" w:cs="Tahoma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>Ստատիստիկա</w:t>
            </w:r>
          </w:p>
          <w:p w:rsidR="004F2299" w:rsidRPr="007B4804" w:rsidRDefault="004F2299" w:rsidP="0072736D">
            <w:pPr>
              <w:rPr>
                <w:rFonts w:ascii="Sylfaen" w:hAnsi="Sylfaen" w:cs="Tahoma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>Կապի հնարավորությունը՝ առնվազն RS232, USB-C</w:t>
            </w:r>
          </w:p>
          <w:p w:rsidR="004F2299" w:rsidRPr="007B4804" w:rsidRDefault="004F2299" w:rsidP="0072736D">
            <w:pPr>
              <w:rPr>
                <w:rFonts w:ascii="Sylfaen" w:hAnsi="Sylfaen" w:cs="Tahoma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>Կշռման պլատֆորմի տրամագիծը՝± 90 մմ; պատրաստված չժանգոտվող պողպատից</w:t>
            </w:r>
          </w:p>
          <w:p w:rsidR="004F2299" w:rsidRPr="007B4804" w:rsidRDefault="004F2299" w:rsidP="0072736D">
            <w:pPr>
              <w:rPr>
                <w:rFonts w:ascii="Sylfaen" w:hAnsi="Sylfaen" w:cs="Tahoma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>Հարթեցումը՝ մանուալ</w:t>
            </w:r>
          </w:p>
          <w:p w:rsidR="004F2299" w:rsidRPr="007B4804" w:rsidRDefault="004F2299" w:rsidP="0072736D">
            <w:pPr>
              <w:rPr>
                <w:rFonts w:ascii="Sylfaen" w:hAnsi="Sylfaen" w:cs="Tahoma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>Կրկնելիությունը՝ 0</w:t>
            </w:r>
            <w:r w:rsidRPr="007B4804">
              <w:rPr>
                <w:rFonts w:ascii="Times New Roman" w:eastAsia="MS Mincho" w:hAnsi="Times New Roman"/>
                <w:sz w:val="22"/>
                <w:szCs w:val="22"/>
                <w:lang w:val="hy-AM"/>
              </w:rPr>
              <w:t>․</w:t>
            </w: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 xml:space="preserve">1 </w:t>
            </w: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մգ</w:t>
            </w:r>
          </w:p>
          <w:p w:rsidR="004F2299" w:rsidRPr="007B4804" w:rsidRDefault="004F2299" w:rsidP="0072736D">
            <w:pPr>
              <w:rPr>
                <w:rFonts w:ascii="Sylfaen" w:hAnsi="Sylfaen" w:cs="Tahoma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>Ճշգրտությունը՝ 0</w:t>
            </w:r>
            <w:r w:rsidRPr="007B4804">
              <w:rPr>
                <w:rFonts w:ascii="Times New Roman" w:eastAsia="MS Mincho" w:hAnsi="Times New Roman"/>
                <w:sz w:val="22"/>
                <w:szCs w:val="22"/>
                <w:lang w:val="hy-AM"/>
              </w:rPr>
              <w:t>․</w:t>
            </w: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 xml:space="preserve">1 </w:t>
            </w: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մգ</w:t>
            </w:r>
          </w:p>
          <w:p w:rsidR="004F2299" w:rsidRPr="007B4804" w:rsidRDefault="004F2299" w:rsidP="0072736D">
            <w:pPr>
              <w:rPr>
                <w:rFonts w:ascii="Sylfaen" w:hAnsi="Sylfaen" w:cs="Tahoma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>Ստաբիլիզացիայի տիպիկ ժամանակը՝ ոչ ավել, քան 1</w:t>
            </w:r>
            <w:r w:rsidRPr="007B4804">
              <w:rPr>
                <w:rFonts w:ascii="Times New Roman" w:eastAsia="MS Mincho" w:hAnsi="Times New Roman"/>
                <w:sz w:val="22"/>
                <w:szCs w:val="22"/>
                <w:lang w:val="hy-AM"/>
              </w:rPr>
              <w:t>․</w:t>
            </w: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 xml:space="preserve">6 </w:t>
            </w: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վ</w:t>
            </w:r>
          </w:p>
          <w:p w:rsidR="004F2299" w:rsidRPr="007B4804" w:rsidRDefault="004F2299" w:rsidP="0072736D">
            <w:pPr>
              <w:rPr>
                <w:rFonts w:ascii="Sylfaen" w:hAnsi="Sylfaen" w:cs="Tahoma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>Գծայնությունը՝ 0</w:t>
            </w:r>
            <w:r w:rsidRPr="007B4804">
              <w:rPr>
                <w:rFonts w:ascii="Times New Roman" w:eastAsia="MS Mincho" w:hAnsi="Times New Roman"/>
                <w:sz w:val="22"/>
                <w:szCs w:val="22"/>
                <w:lang w:val="hy-AM"/>
              </w:rPr>
              <w:t>․</w:t>
            </w: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 xml:space="preserve">2 </w:t>
            </w: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>մգ</w:t>
            </w:r>
          </w:p>
          <w:p w:rsidR="004F2299" w:rsidRPr="007B4804" w:rsidRDefault="004F2299" w:rsidP="0072736D">
            <w:pPr>
              <w:rPr>
                <w:rFonts w:ascii="Sylfaen" w:hAnsi="Sylfaen" w:cs="Tahoma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>Կշռման առավելագույն ունակությունը՝ 60 գ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Arial"/>
                <w:sz w:val="22"/>
                <w:szCs w:val="22"/>
                <w:lang w:val="hy-AM"/>
              </w:rPr>
              <w:t>Ապրանքները պետք է լինի նոր, չօգտագործված, փաթեթը չվնասված և ապահովված համապատասխան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Arial"/>
                <w:sz w:val="22"/>
                <w:szCs w:val="22"/>
                <w:lang w:val="hy-AM"/>
              </w:rPr>
              <w:t>պահպանման պայմաններով մատակարարման ամբողջ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Arial"/>
                <w:sz w:val="22"/>
                <w:szCs w:val="22"/>
                <w:lang w:val="hy-AM"/>
              </w:rPr>
              <w:t>ընթացքում: Մատակարարումից առաջ համաձայնեցնել պատվիրատուի հետ:</w:t>
            </w:r>
          </w:p>
          <w:p w:rsidR="004F2299" w:rsidRPr="007B4804" w:rsidRDefault="004F2299" w:rsidP="0072736D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</w:tc>
        <w:tc>
          <w:tcPr>
            <w:tcW w:w="830" w:type="dxa"/>
          </w:tcPr>
          <w:p w:rsidR="004F2299" w:rsidRPr="007B4804" w:rsidRDefault="004F2299" w:rsidP="0072736D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  <w:proofErr w:type="spellStart"/>
            <w:r w:rsidRPr="007B4804">
              <w:rPr>
                <w:rFonts w:ascii="Sylfaen" w:hAnsi="Sylfaen" w:cs="Arial"/>
                <w:sz w:val="22"/>
                <w:szCs w:val="22"/>
                <w:lang w:val="ru-RU"/>
              </w:rPr>
              <w:lastRenderedPageBreak/>
              <w:t>հատ</w:t>
            </w:r>
            <w:proofErr w:type="spellEnd"/>
          </w:p>
        </w:tc>
        <w:tc>
          <w:tcPr>
            <w:tcW w:w="810" w:type="dxa"/>
          </w:tcPr>
          <w:p w:rsidR="004F2299" w:rsidRPr="007B4804" w:rsidRDefault="004F2299" w:rsidP="0072736D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Arial"/>
                <w:sz w:val="22"/>
                <w:szCs w:val="22"/>
                <w:lang w:val="ru-RU"/>
              </w:rPr>
              <w:t>1</w:t>
            </w:r>
          </w:p>
        </w:tc>
        <w:tc>
          <w:tcPr>
            <w:tcW w:w="720" w:type="dxa"/>
          </w:tcPr>
          <w:p w:rsidR="004F2299" w:rsidRPr="007B4804" w:rsidRDefault="004F2299" w:rsidP="0072736D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Arial"/>
                <w:sz w:val="22"/>
                <w:szCs w:val="22"/>
                <w:lang w:val="hy-AM"/>
              </w:rPr>
              <w:t>Ալեք Մանուկյան 1/3</w:t>
            </w:r>
          </w:p>
          <w:p w:rsidR="004F2299" w:rsidRPr="007B4804" w:rsidRDefault="004F2299" w:rsidP="0072736D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  <w:lang w:val="ru-RU"/>
              </w:rPr>
            </w:pPr>
          </w:p>
        </w:tc>
        <w:tc>
          <w:tcPr>
            <w:tcW w:w="1530" w:type="dxa"/>
            <w:vAlign w:val="center"/>
          </w:tcPr>
          <w:p w:rsidR="004F2299" w:rsidRPr="007B4804" w:rsidRDefault="004F2299" w:rsidP="0072736D">
            <w:pPr>
              <w:rPr>
                <w:rFonts w:ascii="Sylfaen" w:hAnsi="Sylfaen" w:cs="Arial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Arial"/>
                <w:sz w:val="22"/>
                <w:szCs w:val="22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</w:t>
            </w:r>
            <w:r w:rsidRPr="007B4804">
              <w:rPr>
                <w:rFonts w:ascii="Sylfaen" w:hAnsi="Sylfaen" w:cs="Arial"/>
                <w:sz w:val="22"/>
                <w:szCs w:val="22"/>
                <w:lang w:val="hy-AM"/>
              </w:rPr>
              <w:lastRenderedPageBreak/>
              <w:t>գրի ուժի մեջ մտնելուց հետո 3</w:t>
            </w:r>
            <w:r w:rsidRPr="007B4804">
              <w:rPr>
                <w:rFonts w:ascii="Sylfaen" w:hAnsi="Sylfaen" w:cs="Arial"/>
                <w:sz w:val="22"/>
                <w:szCs w:val="22"/>
                <w:lang w:val="ru-RU"/>
              </w:rPr>
              <w:t xml:space="preserve"> </w:t>
            </w:r>
            <w:r w:rsidRPr="007B4804">
              <w:rPr>
                <w:rFonts w:ascii="Sylfaen" w:hAnsi="Sylfaen" w:cs="Arial"/>
                <w:sz w:val="22"/>
                <w:szCs w:val="22"/>
                <w:lang w:val="hy-AM"/>
              </w:rPr>
              <w:t>ամսվա ընթացքում</w:t>
            </w:r>
          </w:p>
        </w:tc>
      </w:tr>
    </w:tbl>
    <w:p w:rsidR="0086405D" w:rsidRPr="007B4804" w:rsidRDefault="0086405D" w:rsidP="0086405D">
      <w:pPr>
        <w:jc w:val="center"/>
        <w:rPr>
          <w:rFonts w:ascii="Sylfaen" w:hAnsi="Sylfaen"/>
          <w:b/>
          <w:sz w:val="22"/>
          <w:szCs w:val="22"/>
          <w:u w:val="single"/>
          <w:lang w:val="hy-AM"/>
        </w:rPr>
      </w:pPr>
    </w:p>
    <w:p w:rsidR="0086405D" w:rsidRPr="007B4804" w:rsidRDefault="0086405D" w:rsidP="0086405D">
      <w:pPr>
        <w:rPr>
          <w:rFonts w:ascii="Sylfaen" w:hAnsi="Sylfaen"/>
          <w:sz w:val="22"/>
          <w:szCs w:val="22"/>
          <w:lang w:val="ru-RU"/>
        </w:rPr>
      </w:pPr>
      <w:bookmarkStart w:id="1" w:name="_Hlk156075254"/>
    </w:p>
    <w:p w:rsidR="0086405D" w:rsidRPr="007B4804" w:rsidRDefault="0086405D" w:rsidP="0086405D">
      <w:pPr>
        <w:rPr>
          <w:rFonts w:ascii="Sylfaen" w:hAnsi="Sylfaen"/>
          <w:sz w:val="22"/>
          <w:szCs w:val="22"/>
          <w:lang w:val="ru-RU"/>
        </w:rPr>
      </w:pPr>
    </w:p>
    <w:p w:rsidR="0086405D" w:rsidRPr="007B4804" w:rsidRDefault="0086405D" w:rsidP="0086405D">
      <w:pPr>
        <w:rPr>
          <w:rFonts w:ascii="Sylfaen" w:hAnsi="Sylfaen"/>
          <w:sz w:val="22"/>
          <w:szCs w:val="22"/>
          <w:lang w:val="hy-AM"/>
        </w:rPr>
      </w:pPr>
    </w:p>
    <w:p w:rsidR="0086405D" w:rsidRPr="007B4804" w:rsidRDefault="0086405D" w:rsidP="0086405D">
      <w:pPr>
        <w:rPr>
          <w:rFonts w:ascii="Sylfaen" w:hAnsi="Sylfaen"/>
          <w:sz w:val="22"/>
          <w:szCs w:val="22"/>
          <w:lang w:val="hy-AM"/>
        </w:rPr>
      </w:pPr>
    </w:p>
    <w:p w:rsidR="0086405D" w:rsidRPr="007B4804" w:rsidRDefault="0086405D" w:rsidP="0086405D">
      <w:pPr>
        <w:rPr>
          <w:rFonts w:ascii="Sylfaen" w:hAnsi="Sylfaen"/>
          <w:sz w:val="22"/>
          <w:szCs w:val="22"/>
          <w:lang w:val="hy-AM"/>
        </w:rPr>
      </w:pPr>
    </w:p>
    <w:bookmarkEnd w:id="1"/>
    <w:p w:rsidR="0086405D" w:rsidRPr="007B4804" w:rsidRDefault="0086405D" w:rsidP="0086405D">
      <w:pPr>
        <w:jc w:val="center"/>
        <w:rPr>
          <w:rFonts w:ascii="Sylfaen" w:hAnsi="Sylfaen"/>
          <w:b/>
          <w:sz w:val="22"/>
          <w:szCs w:val="22"/>
          <w:u w:val="single"/>
          <w:lang w:val="hy-AM"/>
        </w:rPr>
      </w:pPr>
    </w:p>
    <w:p w:rsidR="0086405D" w:rsidRPr="007B4804" w:rsidRDefault="0086405D" w:rsidP="0086405D">
      <w:pPr>
        <w:spacing w:line="276" w:lineRule="auto"/>
        <w:ind w:right="-384"/>
        <w:rPr>
          <w:rFonts w:ascii="Sylfaen" w:hAnsi="Sylfaen"/>
          <w:b/>
          <w:sz w:val="22"/>
          <w:szCs w:val="22"/>
          <w:lang w:val="hy-AM"/>
        </w:rPr>
      </w:pPr>
    </w:p>
    <w:p w:rsidR="0086405D" w:rsidRPr="007B4804" w:rsidRDefault="0086405D" w:rsidP="0086405D">
      <w:pPr>
        <w:spacing w:line="276" w:lineRule="auto"/>
        <w:ind w:left="170" w:right="-384"/>
        <w:jc w:val="center"/>
        <w:rPr>
          <w:rFonts w:ascii="Sylfaen" w:hAnsi="Sylfaen"/>
          <w:b/>
          <w:sz w:val="22"/>
          <w:szCs w:val="22"/>
          <w:lang w:val="pt-BR"/>
        </w:rPr>
      </w:pPr>
    </w:p>
    <w:p w:rsidR="004F2299" w:rsidRPr="007B4804" w:rsidRDefault="004F2299" w:rsidP="0086405D">
      <w:pPr>
        <w:spacing w:line="276" w:lineRule="auto"/>
        <w:ind w:left="170" w:right="-384"/>
        <w:jc w:val="center"/>
        <w:rPr>
          <w:rFonts w:ascii="Sylfaen" w:hAnsi="Sylfaen"/>
          <w:b/>
          <w:sz w:val="22"/>
          <w:szCs w:val="22"/>
          <w:lang w:val="pt-BR"/>
        </w:rPr>
      </w:pPr>
    </w:p>
    <w:p w:rsidR="004F2299" w:rsidRPr="007B4804" w:rsidRDefault="004F2299" w:rsidP="0086405D">
      <w:pPr>
        <w:spacing w:line="276" w:lineRule="auto"/>
        <w:ind w:left="170" w:right="-384"/>
        <w:jc w:val="center"/>
        <w:rPr>
          <w:rFonts w:ascii="Sylfaen" w:hAnsi="Sylfaen"/>
          <w:b/>
          <w:sz w:val="22"/>
          <w:szCs w:val="22"/>
          <w:lang w:val="pt-BR"/>
        </w:rPr>
      </w:pPr>
    </w:p>
    <w:p w:rsidR="004F2299" w:rsidRPr="007B4804" w:rsidRDefault="004F2299" w:rsidP="004F2299">
      <w:pPr>
        <w:spacing w:line="276" w:lineRule="auto"/>
        <w:ind w:right="-384"/>
        <w:rPr>
          <w:rFonts w:ascii="Sylfaen" w:hAnsi="Sylfaen"/>
          <w:b/>
          <w:sz w:val="22"/>
          <w:szCs w:val="22"/>
          <w:lang w:val="pt-BR"/>
        </w:rPr>
      </w:pPr>
    </w:p>
    <w:p w:rsidR="0086405D" w:rsidRPr="007B4804" w:rsidRDefault="004F2299" w:rsidP="004F2299">
      <w:pPr>
        <w:spacing w:line="276" w:lineRule="auto"/>
        <w:ind w:right="-384"/>
        <w:rPr>
          <w:rFonts w:ascii="Sylfaen" w:hAnsi="Sylfaen" w:cs="Arial"/>
          <w:b/>
          <w:sz w:val="22"/>
          <w:szCs w:val="22"/>
          <w:lang w:val="ru-RU"/>
        </w:rPr>
      </w:pPr>
      <w:r w:rsidRPr="007B4804">
        <w:rPr>
          <w:rFonts w:ascii="Sylfaen" w:hAnsi="Sylfaen"/>
          <w:b/>
          <w:sz w:val="22"/>
          <w:szCs w:val="22"/>
          <w:lang w:val="pt-BR"/>
        </w:rPr>
        <w:t xml:space="preserve">                                                                                    </w:t>
      </w:r>
      <w:r w:rsidR="0086405D" w:rsidRPr="007B4804">
        <w:rPr>
          <w:rFonts w:ascii="Sylfaen" w:hAnsi="Sylfaen" w:cs="Arial"/>
          <w:b/>
          <w:sz w:val="22"/>
          <w:szCs w:val="22"/>
          <w:lang w:val="ru-RU"/>
        </w:rPr>
        <w:t>НА ПРИОБРЕТЕНИЕ ОБОРУДОВАНИЯ</w:t>
      </w:r>
    </w:p>
    <w:p w:rsidR="0086405D" w:rsidRPr="007B4804" w:rsidRDefault="0086405D" w:rsidP="004F2299">
      <w:pPr>
        <w:spacing w:line="276" w:lineRule="auto"/>
        <w:ind w:right="-384"/>
        <w:jc w:val="center"/>
        <w:rPr>
          <w:rFonts w:ascii="Sylfaen" w:hAnsi="Sylfaen" w:cs="Arial"/>
          <w:b/>
          <w:sz w:val="22"/>
          <w:szCs w:val="22"/>
          <w:lang w:val="ru-RU"/>
        </w:rPr>
      </w:pPr>
      <w:r w:rsidRPr="007B4804">
        <w:rPr>
          <w:rFonts w:ascii="Sylfaen" w:hAnsi="Sylfaen" w:cs="Arial"/>
          <w:b/>
          <w:sz w:val="22"/>
          <w:szCs w:val="22"/>
          <w:lang w:val="ru-RU"/>
        </w:rPr>
        <w:t>ТЕХНИЧЕСКИЕ ХАРАКТЕРИСТИКИ</w:t>
      </w:r>
    </w:p>
    <w:p w:rsidR="0086405D" w:rsidRPr="007B4804" w:rsidRDefault="0086405D" w:rsidP="0086405D">
      <w:pPr>
        <w:spacing w:line="276" w:lineRule="auto"/>
        <w:ind w:left="567" w:right="-384" w:hanging="141"/>
        <w:jc w:val="center"/>
        <w:rPr>
          <w:rFonts w:ascii="Sylfaen" w:hAnsi="Sylfaen"/>
          <w:b/>
          <w:sz w:val="22"/>
          <w:szCs w:val="22"/>
          <w:lang w:val="pt-BR"/>
        </w:rPr>
      </w:pPr>
    </w:p>
    <w:tbl>
      <w:tblPr>
        <w:tblW w:w="13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51"/>
        <w:gridCol w:w="992"/>
        <w:gridCol w:w="1371"/>
        <w:gridCol w:w="5575"/>
        <w:gridCol w:w="992"/>
        <w:gridCol w:w="850"/>
        <w:gridCol w:w="851"/>
        <w:gridCol w:w="2013"/>
      </w:tblGrid>
      <w:tr w:rsidR="0086405D" w:rsidRPr="007B4804" w:rsidTr="00DD0E82">
        <w:trPr>
          <w:trHeight w:val="422"/>
          <w:jc w:val="center"/>
        </w:trPr>
        <w:tc>
          <w:tcPr>
            <w:tcW w:w="851" w:type="dxa"/>
          </w:tcPr>
          <w:p w:rsidR="0086405D" w:rsidRPr="007B4804" w:rsidRDefault="0086405D" w:rsidP="0072736D">
            <w:pPr>
              <w:rPr>
                <w:rFonts w:ascii="Sylfaen" w:hAnsi="Sylfaen"/>
                <w:sz w:val="22"/>
                <w:szCs w:val="22"/>
                <w:lang w:val="ru-RU" w:bidi="ru-RU"/>
              </w:rPr>
            </w:pPr>
            <w:bookmarkStart w:id="2" w:name="_Hlk160928953"/>
          </w:p>
        </w:tc>
        <w:tc>
          <w:tcPr>
            <w:tcW w:w="992" w:type="dxa"/>
          </w:tcPr>
          <w:p w:rsidR="0086405D" w:rsidRPr="007B4804" w:rsidRDefault="0086405D" w:rsidP="0072736D">
            <w:pPr>
              <w:jc w:val="center"/>
              <w:rPr>
                <w:rFonts w:ascii="Sylfaen" w:hAnsi="Sylfaen"/>
                <w:sz w:val="22"/>
                <w:szCs w:val="22"/>
                <w:lang w:val="ru-RU" w:bidi="ru-RU"/>
              </w:rPr>
            </w:pPr>
          </w:p>
        </w:tc>
        <w:tc>
          <w:tcPr>
            <w:tcW w:w="11652" w:type="dxa"/>
            <w:gridSpan w:val="6"/>
          </w:tcPr>
          <w:p w:rsidR="0086405D" w:rsidRPr="007B4804" w:rsidRDefault="0086405D" w:rsidP="0072736D">
            <w:pPr>
              <w:jc w:val="center"/>
              <w:rPr>
                <w:rFonts w:ascii="Sylfaen" w:hAnsi="Sylfaen"/>
                <w:sz w:val="22"/>
                <w:szCs w:val="22"/>
                <w:lang w:bidi="ru-RU"/>
              </w:rPr>
            </w:pPr>
            <w:proofErr w:type="spellStart"/>
            <w:r w:rsidRPr="007B4804">
              <w:rPr>
                <w:rFonts w:ascii="Sylfaen" w:hAnsi="Sylfaen"/>
                <w:sz w:val="22"/>
                <w:szCs w:val="22"/>
                <w:lang w:bidi="ru-RU"/>
              </w:rPr>
              <w:t>Товар</w:t>
            </w:r>
            <w:proofErr w:type="spellEnd"/>
          </w:p>
        </w:tc>
      </w:tr>
      <w:tr w:rsidR="00DD0E82" w:rsidRPr="007B4804" w:rsidTr="00DD0E82">
        <w:trPr>
          <w:trHeight w:val="247"/>
          <w:jc w:val="center"/>
        </w:trPr>
        <w:tc>
          <w:tcPr>
            <w:tcW w:w="851" w:type="dxa"/>
            <w:vMerge w:val="restart"/>
          </w:tcPr>
          <w:p w:rsidR="00DD0E82" w:rsidRPr="007B4804" w:rsidRDefault="00DD0E82" w:rsidP="0072736D">
            <w:pPr>
              <w:rPr>
                <w:rFonts w:ascii="Sylfaen" w:hAnsi="Sylfaen"/>
                <w:sz w:val="22"/>
                <w:szCs w:val="22"/>
                <w:lang w:val="pt-BR"/>
              </w:rPr>
            </w:pPr>
            <w:r w:rsidRPr="007B4804">
              <w:rPr>
                <w:rFonts w:ascii="Sylfaen" w:hAnsi="Sylfaen"/>
                <w:sz w:val="22"/>
                <w:szCs w:val="22"/>
                <w:lang w:val="pt-BR"/>
              </w:rPr>
              <w:t>номер предус</w:t>
            </w:r>
            <w:r w:rsidRPr="007B4804">
              <w:rPr>
                <w:rFonts w:ascii="Sylfaen" w:hAnsi="Sylfaen"/>
                <w:sz w:val="22"/>
                <w:szCs w:val="22"/>
                <w:lang w:val="pt-BR"/>
              </w:rPr>
              <w:softHyphen/>
              <w:t>мотренного приглашением</w:t>
            </w:r>
          </w:p>
          <w:p w:rsidR="00DD0E82" w:rsidRPr="007B4804" w:rsidRDefault="00DD0E82" w:rsidP="0072736D">
            <w:pPr>
              <w:rPr>
                <w:rFonts w:ascii="Sylfaen" w:hAnsi="Sylfaen"/>
                <w:sz w:val="22"/>
                <w:szCs w:val="22"/>
                <w:lang w:val="pt-BR"/>
              </w:rPr>
            </w:pPr>
            <w:r w:rsidRPr="007B4804">
              <w:rPr>
                <w:rFonts w:ascii="Sylfaen" w:hAnsi="Sylfaen"/>
                <w:sz w:val="22"/>
                <w:szCs w:val="22"/>
                <w:lang w:val="pt-BR"/>
              </w:rPr>
              <w:t>лота</w:t>
            </w:r>
          </w:p>
        </w:tc>
        <w:tc>
          <w:tcPr>
            <w:tcW w:w="992" w:type="dxa"/>
            <w:vMerge w:val="restart"/>
          </w:tcPr>
          <w:p w:rsidR="00DD0E82" w:rsidRPr="007B4804" w:rsidRDefault="00DD0E82" w:rsidP="0072736D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/>
                <w:sz w:val="22"/>
                <w:szCs w:val="22"/>
                <w:lang w:val="ru-RU"/>
              </w:rPr>
              <w:t>промежуточный код, предусмотренный планом</w:t>
            </w:r>
          </w:p>
          <w:p w:rsidR="00DD0E82" w:rsidRPr="007B4804" w:rsidRDefault="00DD0E82" w:rsidP="0072736D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/>
                <w:sz w:val="22"/>
                <w:szCs w:val="22"/>
                <w:lang w:val="ru-RU"/>
              </w:rPr>
              <w:t>закупок по классификации</w:t>
            </w:r>
          </w:p>
          <w:p w:rsidR="00DD0E82" w:rsidRPr="007B4804" w:rsidRDefault="00DD0E82" w:rsidP="0072736D">
            <w:pPr>
              <w:rPr>
                <w:rFonts w:ascii="Sylfaen" w:hAnsi="Sylfaen"/>
                <w:sz w:val="22"/>
                <w:szCs w:val="22"/>
                <w:lang w:val="pt-BR"/>
              </w:rPr>
            </w:pPr>
            <w:r w:rsidRPr="007B4804">
              <w:rPr>
                <w:rFonts w:ascii="Sylfaen" w:hAnsi="Sylfaen"/>
                <w:sz w:val="22"/>
                <w:szCs w:val="22"/>
                <w:lang w:val="pt-BR"/>
              </w:rPr>
              <w:t>ЕЗК (CPV)</w:t>
            </w:r>
          </w:p>
        </w:tc>
        <w:tc>
          <w:tcPr>
            <w:tcW w:w="1371" w:type="dxa"/>
            <w:vMerge w:val="restart"/>
          </w:tcPr>
          <w:p w:rsidR="00DD0E82" w:rsidRPr="007B4804" w:rsidRDefault="00DD0E82" w:rsidP="0072736D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/>
                <w:sz w:val="22"/>
                <w:szCs w:val="22"/>
                <w:lang w:val="ru-RU"/>
              </w:rPr>
              <w:t>Наименование</w:t>
            </w:r>
          </w:p>
        </w:tc>
        <w:tc>
          <w:tcPr>
            <w:tcW w:w="5575" w:type="dxa"/>
          </w:tcPr>
          <w:p w:rsidR="00DD0E82" w:rsidRPr="007B4804" w:rsidRDefault="00DD0E82" w:rsidP="0072736D">
            <w:pPr>
              <w:rPr>
                <w:rFonts w:ascii="Sylfaen" w:hAnsi="Sylfaen"/>
                <w:sz w:val="22"/>
                <w:szCs w:val="22"/>
                <w:lang w:val="pt-BR"/>
              </w:rPr>
            </w:pPr>
          </w:p>
        </w:tc>
        <w:tc>
          <w:tcPr>
            <w:tcW w:w="992" w:type="dxa"/>
            <w:vMerge w:val="restart"/>
          </w:tcPr>
          <w:p w:rsidR="00DD0E82" w:rsidRPr="007B4804" w:rsidRDefault="00DD0E82" w:rsidP="0072736D">
            <w:pPr>
              <w:rPr>
                <w:rFonts w:ascii="Sylfaen" w:hAnsi="Sylfaen"/>
                <w:sz w:val="22"/>
                <w:szCs w:val="22"/>
                <w:lang w:val="pt-BR"/>
              </w:rPr>
            </w:pPr>
            <w:r w:rsidRPr="007B4804">
              <w:rPr>
                <w:rFonts w:ascii="Sylfaen" w:hAnsi="Sylfaen"/>
                <w:sz w:val="22"/>
                <w:szCs w:val="22"/>
                <w:lang w:val="pt-BR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DD0E82" w:rsidRPr="007B4804" w:rsidRDefault="00DD0E82" w:rsidP="0072736D">
            <w:pPr>
              <w:rPr>
                <w:rFonts w:ascii="Sylfaen" w:hAnsi="Sylfaen"/>
                <w:sz w:val="22"/>
                <w:szCs w:val="22"/>
                <w:lang w:val="pt-BR"/>
              </w:rPr>
            </w:pPr>
            <w:r w:rsidRPr="007B4804">
              <w:rPr>
                <w:rFonts w:ascii="Sylfaen" w:hAnsi="Sylfaen"/>
                <w:sz w:val="22"/>
                <w:szCs w:val="22"/>
                <w:lang w:val="pt-BR"/>
              </w:rPr>
              <w:t>общий объем</w:t>
            </w:r>
          </w:p>
        </w:tc>
        <w:tc>
          <w:tcPr>
            <w:tcW w:w="2864" w:type="dxa"/>
            <w:gridSpan w:val="2"/>
          </w:tcPr>
          <w:p w:rsidR="00DD0E82" w:rsidRPr="007B4804" w:rsidRDefault="00DD0E82" w:rsidP="0072736D">
            <w:pPr>
              <w:rPr>
                <w:rFonts w:ascii="Sylfaen" w:hAnsi="Sylfaen"/>
                <w:sz w:val="22"/>
                <w:szCs w:val="22"/>
                <w:lang w:val="pt-BR"/>
              </w:rPr>
            </w:pPr>
            <w:r w:rsidRPr="007B4804">
              <w:rPr>
                <w:rFonts w:ascii="Sylfaen" w:hAnsi="Sylfaen"/>
                <w:sz w:val="22"/>
                <w:szCs w:val="22"/>
                <w:lang w:val="pt-BR"/>
              </w:rPr>
              <w:t>предоставления</w:t>
            </w:r>
          </w:p>
        </w:tc>
      </w:tr>
      <w:tr w:rsidR="00DD0E82" w:rsidRPr="007B4804" w:rsidTr="00DD0E82">
        <w:trPr>
          <w:trHeight w:val="1108"/>
          <w:jc w:val="center"/>
        </w:trPr>
        <w:tc>
          <w:tcPr>
            <w:tcW w:w="851" w:type="dxa"/>
            <w:vMerge/>
          </w:tcPr>
          <w:p w:rsidR="00DD0E82" w:rsidRPr="007B4804" w:rsidRDefault="00DD0E82" w:rsidP="0072736D">
            <w:pPr>
              <w:rPr>
                <w:rFonts w:ascii="Sylfaen" w:hAnsi="Sylfaen"/>
                <w:sz w:val="22"/>
                <w:szCs w:val="22"/>
                <w:lang w:val="pt-BR"/>
              </w:rPr>
            </w:pPr>
          </w:p>
        </w:tc>
        <w:tc>
          <w:tcPr>
            <w:tcW w:w="992" w:type="dxa"/>
            <w:vMerge/>
          </w:tcPr>
          <w:p w:rsidR="00DD0E82" w:rsidRPr="007B4804" w:rsidRDefault="00DD0E82" w:rsidP="0072736D">
            <w:pPr>
              <w:rPr>
                <w:rFonts w:ascii="Sylfaen" w:hAnsi="Sylfaen"/>
                <w:sz w:val="22"/>
                <w:szCs w:val="22"/>
                <w:lang w:val="pt-BR"/>
              </w:rPr>
            </w:pPr>
          </w:p>
        </w:tc>
        <w:tc>
          <w:tcPr>
            <w:tcW w:w="1371" w:type="dxa"/>
            <w:vMerge/>
          </w:tcPr>
          <w:p w:rsidR="00DD0E82" w:rsidRPr="007B4804" w:rsidRDefault="00DD0E82" w:rsidP="0072736D">
            <w:pPr>
              <w:rPr>
                <w:rFonts w:ascii="Sylfaen" w:hAnsi="Sylfaen"/>
                <w:sz w:val="22"/>
                <w:szCs w:val="22"/>
                <w:lang w:val="pt-BR"/>
              </w:rPr>
            </w:pPr>
          </w:p>
        </w:tc>
        <w:tc>
          <w:tcPr>
            <w:tcW w:w="5575" w:type="dxa"/>
          </w:tcPr>
          <w:p w:rsidR="00DD0E82" w:rsidRPr="007B4804" w:rsidRDefault="00DD0E82" w:rsidP="0072736D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7B4804">
              <w:rPr>
                <w:rFonts w:ascii="Sylfaen" w:hAnsi="Sylfaen"/>
                <w:sz w:val="22"/>
                <w:szCs w:val="22"/>
                <w:lang w:val="pt-BR"/>
              </w:rPr>
              <w:t>техни</w:t>
            </w:r>
            <w:proofErr w:type="spellStart"/>
            <w:r w:rsidRPr="007B4804">
              <w:rPr>
                <w:rFonts w:ascii="Sylfaen" w:hAnsi="Sylfaen"/>
                <w:sz w:val="22"/>
                <w:szCs w:val="22"/>
              </w:rPr>
              <w:t>че</w:t>
            </w:r>
            <w:proofErr w:type="spellEnd"/>
            <w:r w:rsidRPr="007B4804">
              <w:rPr>
                <w:rFonts w:ascii="Sylfaen" w:hAnsi="Sylfaen"/>
                <w:sz w:val="22"/>
                <w:szCs w:val="22"/>
                <w:lang w:val="pt-BR"/>
              </w:rPr>
              <w:t>ская характеристика</w:t>
            </w:r>
          </w:p>
        </w:tc>
        <w:tc>
          <w:tcPr>
            <w:tcW w:w="992" w:type="dxa"/>
            <w:vMerge/>
          </w:tcPr>
          <w:p w:rsidR="00DD0E82" w:rsidRPr="007B4804" w:rsidRDefault="00DD0E82" w:rsidP="0072736D">
            <w:pPr>
              <w:rPr>
                <w:rFonts w:ascii="Sylfaen" w:hAnsi="Sylfaen"/>
                <w:sz w:val="22"/>
                <w:szCs w:val="22"/>
                <w:lang w:val="pt-BR"/>
              </w:rPr>
            </w:pPr>
          </w:p>
        </w:tc>
        <w:tc>
          <w:tcPr>
            <w:tcW w:w="850" w:type="dxa"/>
            <w:vMerge/>
          </w:tcPr>
          <w:p w:rsidR="00DD0E82" w:rsidRPr="007B4804" w:rsidRDefault="00DD0E82" w:rsidP="0072736D">
            <w:pPr>
              <w:rPr>
                <w:rFonts w:ascii="Sylfaen" w:hAnsi="Sylfaen"/>
                <w:sz w:val="22"/>
                <w:szCs w:val="22"/>
                <w:lang w:val="pt-BR"/>
              </w:rPr>
            </w:pPr>
          </w:p>
        </w:tc>
        <w:tc>
          <w:tcPr>
            <w:tcW w:w="851" w:type="dxa"/>
          </w:tcPr>
          <w:p w:rsidR="00DD0E82" w:rsidRPr="007B4804" w:rsidRDefault="00DD0E82" w:rsidP="0072736D">
            <w:pPr>
              <w:rPr>
                <w:rFonts w:ascii="Sylfaen" w:hAnsi="Sylfaen"/>
                <w:sz w:val="22"/>
                <w:szCs w:val="22"/>
                <w:lang w:val="pt-BR"/>
              </w:rPr>
            </w:pPr>
            <w:r w:rsidRPr="007B4804">
              <w:rPr>
                <w:rFonts w:ascii="Sylfaen" w:hAnsi="Sylfaen"/>
                <w:sz w:val="22"/>
                <w:szCs w:val="22"/>
                <w:lang w:val="pt-BR"/>
              </w:rPr>
              <w:t>Адрес</w:t>
            </w:r>
          </w:p>
          <w:p w:rsidR="00DD0E82" w:rsidRPr="007B4804" w:rsidRDefault="00DD0E82" w:rsidP="0072736D">
            <w:pPr>
              <w:rPr>
                <w:rFonts w:ascii="Sylfaen" w:hAnsi="Sylfaen"/>
                <w:sz w:val="22"/>
                <w:szCs w:val="22"/>
                <w:lang w:val="pt-BR"/>
              </w:rPr>
            </w:pPr>
          </w:p>
        </w:tc>
        <w:tc>
          <w:tcPr>
            <w:tcW w:w="2013" w:type="dxa"/>
          </w:tcPr>
          <w:p w:rsidR="00DD0E82" w:rsidRPr="007B4804" w:rsidRDefault="00DD0E82" w:rsidP="0072736D">
            <w:pPr>
              <w:rPr>
                <w:rFonts w:ascii="Sylfaen" w:hAnsi="Sylfaen"/>
                <w:sz w:val="22"/>
                <w:szCs w:val="22"/>
                <w:lang w:val="pt-BR"/>
              </w:rPr>
            </w:pPr>
            <w:r w:rsidRPr="007B4804">
              <w:rPr>
                <w:rFonts w:ascii="Sylfaen" w:hAnsi="Sylfaen"/>
                <w:sz w:val="22"/>
                <w:szCs w:val="22"/>
                <w:lang w:val="pt-BR"/>
              </w:rPr>
              <w:t>срок</w:t>
            </w:r>
            <w:r w:rsidRPr="007B4804">
              <w:rPr>
                <w:rFonts w:ascii="Sylfaen" w:hAnsi="Sylfaen"/>
                <w:sz w:val="22"/>
                <w:szCs w:val="22"/>
                <w:lang w:val="pt-BR"/>
              </w:rPr>
              <w:footnoteReference w:customMarkFollows="1" w:id="5"/>
              <w:t>**</w:t>
            </w:r>
          </w:p>
        </w:tc>
      </w:tr>
      <w:tr w:rsidR="004C2F4B" w:rsidRPr="007B4804" w:rsidTr="00846521">
        <w:trPr>
          <w:trHeight w:val="70"/>
          <w:jc w:val="center"/>
        </w:trPr>
        <w:tc>
          <w:tcPr>
            <w:tcW w:w="851" w:type="dxa"/>
          </w:tcPr>
          <w:p w:rsidR="004C2F4B" w:rsidRPr="007B4804" w:rsidRDefault="004C2F4B" w:rsidP="004C2F4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Sylfaen" w:hAnsi="Sylfaen"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</w:tcPr>
          <w:p w:rsidR="004C2F4B" w:rsidRPr="007B4804" w:rsidRDefault="004C2F4B" w:rsidP="004C2F4B">
            <w:pPr>
              <w:jc w:val="center"/>
              <w:rPr>
                <w:rFonts w:ascii="Sylfaen" w:hAnsi="Sylfaen"/>
                <w:color w:val="403931"/>
                <w:sz w:val="22"/>
                <w:szCs w:val="22"/>
                <w:shd w:val="clear" w:color="auto" w:fill="FFFFFF"/>
                <w:vertAlign w:val="superscript"/>
              </w:rPr>
            </w:pPr>
            <w:r w:rsidRPr="007B4804">
              <w:rPr>
                <w:rFonts w:ascii="Sylfaen" w:hAnsi="Sylfaen"/>
                <w:color w:val="403931"/>
                <w:sz w:val="22"/>
                <w:szCs w:val="22"/>
                <w:shd w:val="clear" w:color="auto" w:fill="FFFFFF"/>
              </w:rPr>
              <w:t>38591200 </w:t>
            </w:r>
            <w:r w:rsidRPr="007B4804">
              <w:rPr>
                <w:rFonts w:ascii="Sylfaen" w:hAnsi="Sylfaen"/>
                <w:color w:val="403931"/>
                <w:sz w:val="22"/>
                <w:szCs w:val="22"/>
                <w:shd w:val="clear" w:color="auto" w:fill="FFFFFF"/>
                <w:vertAlign w:val="superscript"/>
              </w:rPr>
              <w:t>/</w:t>
            </w:r>
          </w:p>
          <w:p w:rsidR="004C2F4B" w:rsidRPr="007B4804" w:rsidRDefault="004C2F4B" w:rsidP="004C2F4B">
            <w:pPr>
              <w:jc w:val="center"/>
              <w:rPr>
                <w:rFonts w:ascii="Sylfaen" w:hAnsi="Sylfaen"/>
                <w:sz w:val="22"/>
                <w:szCs w:val="22"/>
                <w:highlight w:val="yellow"/>
              </w:rPr>
            </w:pPr>
            <w:r w:rsidRPr="007B4804">
              <w:rPr>
                <w:rFonts w:ascii="Sylfaen" w:hAnsi="Sylfaen"/>
                <w:color w:val="403931"/>
                <w:sz w:val="22"/>
                <w:szCs w:val="22"/>
                <w:shd w:val="clear" w:color="auto" w:fill="FFFFFF"/>
                <w:vertAlign w:val="superscript"/>
              </w:rPr>
              <w:t>508</w:t>
            </w:r>
          </w:p>
        </w:tc>
        <w:tc>
          <w:tcPr>
            <w:tcW w:w="1371" w:type="dxa"/>
            <w:vAlign w:val="center"/>
          </w:tcPr>
          <w:p w:rsidR="004C2F4B" w:rsidRPr="007B4804" w:rsidRDefault="004C2F4B" w:rsidP="004C2F4B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proofErr w:type="spellStart"/>
            <w:r w:rsidRPr="007B4804">
              <w:rPr>
                <w:rFonts w:ascii="Sylfaen" w:hAnsi="Sylfaen"/>
                <w:sz w:val="22"/>
                <w:szCs w:val="22"/>
                <w:lang w:val="ru-RU"/>
              </w:rPr>
              <w:t>Ионометр</w:t>
            </w:r>
            <w:proofErr w:type="spellEnd"/>
            <w:r w:rsidRPr="007B4804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B4804">
              <w:rPr>
                <w:rFonts w:ascii="Sylfaen" w:hAnsi="Sylfaen"/>
                <w:sz w:val="22"/>
                <w:szCs w:val="22"/>
              </w:rPr>
              <w:t>pH</w:t>
            </w:r>
            <w:r w:rsidRPr="007B4804">
              <w:rPr>
                <w:rFonts w:ascii="Sylfaen" w:hAnsi="Sylfaen"/>
                <w:sz w:val="22"/>
                <w:szCs w:val="22"/>
                <w:lang w:val="ru-RU"/>
              </w:rPr>
              <w:t>/</w:t>
            </w:r>
            <w:r w:rsidRPr="007B4804">
              <w:rPr>
                <w:rFonts w:ascii="Sylfaen" w:hAnsi="Sylfaen"/>
                <w:sz w:val="22"/>
                <w:szCs w:val="22"/>
              </w:rPr>
              <w:t>ORP</w:t>
            </w:r>
            <w:r w:rsidRPr="007B4804">
              <w:rPr>
                <w:rFonts w:ascii="Sylfaen" w:hAnsi="Sylfaen"/>
                <w:sz w:val="22"/>
                <w:szCs w:val="22"/>
                <w:lang w:val="ru-RU"/>
              </w:rPr>
              <w:t xml:space="preserve">/ температуры </w:t>
            </w:r>
            <w:r w:rsidRPr="007B4804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>с электродами</w:t>
            </w:r>
          </w:p>
        </w:tc>
        <w:tc>
          <w:tcPr>
            <w:tcW w:w="5575" w:type="dxa"/>
            <w:vAlign w:val="center"/>
          </w:tcPr>
          <w:p w:rsidR="004C2F4B" w:rsidRPr="007B4804" w:rsidRDefault="004C2F4B" w:rsidP="004C2F4B">
            <w:pPr>
              <w:jc w:val="center"/>
              <w:rPr>
                <w:rFonts w:ascii="Sylfaen" w:hAnsi="Sylfaen" w:cs="Sylfaen"/>
                <w:sz w:val="22"/>
                <w:szCs w:val="22"/>
              </w:rPr>
            </w:pPr>
            <w:r w:rsidRPr="007B4804">
              <w:rPr>
                <w:rFonts w:ascii="Sylfaen" w:hAnsi="Sylfaen" w:cs="Sylfaen"/>
                <w:sz w:val="22"/>
                <w:szCs w:val="22"/>
              </w:rPr>
              <w:lastRenderedPageBreak/>
              <w:t xml:space="preserve">Milwaukee, Hannah </w:t>
            </w:r>
            <w:proofErr w:type="gramStart"/>
            <w:r w:rsidRPr="007B4804">
              <w:rPr>
                <w:rFonts w:ascii="Sylfaen" w:hAnsi="Sylfaen" w:cs="Sylfaen"/>
                <w:sz w:val="22"/>
                <w:szCs w:val="22"/>
              </w:rPr>
              <w:t xml:space="preserve">Instruments </w:t>
            </w: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</w:t>
            </w: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или</w:t>
            </w:r>
            <w:proofErr w:type="gramEnd"/>
            <w:r w:rsidRPr="007B4804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7B4804">
              <w:rPr>
                <w:rFonts w:ascii="Sylfaen" w:hAnsi="Sylfaen" w:cs="Sylfaen"/>
                <w:sz w:val="22"/>
                <w:szCs w:val="22"/>
              </w:rPr>
              <w:t>Mettler</w:t>
            </w:r>
            <w:proofErr w:type="spellEnd"/>
            <w:r w:rsidRPr="007B4804">
              <w:rPr>
                <w:rFonts w:ascii="Sylfaen" w:hAnsi="Sylfaen" w:cs="Sylfaen"/>
                <w:sz w:val="22"/>
                <w:szCs w:val="22"/>
              </w:rPr>
              <w:t xml:space="preserve"> Toledo. 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proofErr w:type="spellStart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Меттлер</w:t>
            </w:r>
            <w:proofErr w:type="spellEnd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Толедо.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 xml:space="preserve">Измерительный </w:t>
            </w:r>
            <w:proofErr w:type="spellStart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ионометр</w:t>
            </w:r>
            <w:proofErr w:type="spellEnd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3-в-1 предназначен для работы с</w:t>
            </w:r>
            <w:r w:rsidRPr="007B4804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</w:t>
            </w: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 xml:space="preserve">образцами различной вязкости и широко </w:t>
            </w: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lastRenderedPageBreak/>
              <w:t xml:space="preserve">используется в тех областях, где другие </w:t>
            </w:r>
            <w:proofErr w:type="spellStart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pH</w:t>
            </w:r>
            <w:proofErr w:type="spellEnd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-метры и электроды часто выходят из строя. Он имеет электрод с двойным спаем, который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можно легко наполнить и очистить. Устройство идеально подходит для заваривания,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 xml:space="preserve">для использования в виноградарстве, гидропонике, лабораториях и системах очистки воды, обеспечивая быстрые и точные результаты. </w:t>
            </w:r>
            <w:proofErr w:type="spellStart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Ионометр</w:t>
            </w:r>
            <w:proofErr w:type="spellEnd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калибруется по 3 точкам и 7 значениям стандартного буфера, что позволяет добиться значительно более высокой точности по сравнению с устройствами с калибровкой по одной или двум точкам.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proofErr w:type="spellStart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Ионометр</w:t>
            </w:r>
            <w:proofErr w:type="spellEnd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обеспечивает точность измерения </w:t>
            </w:r>
            <w:proofErr w:type="spellStart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pH</w:t>
            </w:r>
            <w:proofErr w:type="spellEnd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до ±0,01, что в 5 раз лучше, чем у некоторых альтернативных моделей. В комплект входит двухслойный </w:t>
            </w:r>
            <w:proofErr w:type="spellStart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pH</w:t>
            </w:r>
            <w:proofErr w:type="spellEnd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 xml:space="preserve">-электрод и датчик температуры, который позволяет прибору автоматически повышать точность показаний </w:t>
            </w:r>
            <w:proofErr w:type="spellStart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pH</w:t>
            </w:r>
            <w:proofErr w:type="spellEnd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в зависимости от температуры (АТХ). Его также можно использовать в качестве термометра с высокой точностью ±0,4°C. ±0,8°Ф.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 xml:space="preserve">Прибор оснащен перезаряжаемым стеклянным </w:t>
            </w:r>
            <w:proofErr w:type="spellStart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pH</w:t>
            </w:r>
            <w:proofErr w:type="spellEnd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 xml:space="preserve">-электродом с разъемом BNC, что позволяет при необходимости легко заменить электрод на другой. Конструкция </w:t>
            </w:r>
            <w:proofErr w:type="spellStart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ионометра</w:t>
            </w:r>
            <w:proofErr w:type="spellEnd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требует минимального обслуживания и пригодна для работы со сложными пробами за счет двойного прохода.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Основные преимущества: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 xml:space="preserve">- </w:t>
            </w:r>
            <w:proofErr w:type="spellStart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Ионометр</w:t>
            </w:r>
            <w:proofErr w:type="spellEnd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удобен и прост в использовании: достаточно вставить электрод и термометр в пробу, перемешать и дождаться стабилизации показаний.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 xml:space="preserve">- Высокая точность до ±0,01 </w:t>
            </w:r>
            <w:proofErr w:type="spellStart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pH</w:t>
            </w:r>
            <w:proofErr w:type="spellEnd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и ±0,4°C.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 xml:space="preserve">- Широкий диапазон измерения от -2,00 до 20,00 </w:t>
            </w:r>
            <w:proofErr w:type="spellStart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pH</w:t>
            </w:r>
            <w:proofErr w:type="spellEnd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lastRenderedPageBreak/>
              <w:t xml:space="preserve">- Автоматическая калибровка по 3 точкам с 7 вариантами выбора буфера </w:t>
            </w:r>
            <w:proofErr w:type="spellStart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pH</w:t>
            </w:r>
            <w:proofErr w:type="spellEnd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(1,68,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4.01, 6.86, 7.01, 9.18, 10.01 и 12.45).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 xml:space="preserve">- </w:t>
            </w:r>
            <w:proofErr w:type="spellStart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pH</w:t>
            </w:r>
            <w:proofErr w:type="spellEnd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-электрод с двойным мостиком и завинчивающейся крышкой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для правильного обслуживания. С возможностью регулярного добавления внутреннего раствора.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- Автоматический контроль температуры (АТК).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- Встроенный аккумулятор с временем работы 8 часов (батарея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входит в комплект).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- Буквенно-цифровой дисплей с предупреждениями и сообщениями об ошибках.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- Внутренние часы для отслеживания различных функций, зависящих от времени.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(калибровка, временная метка, период калибровки).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- Специальная функция ключа GLP.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- 3 отдельных провода для подключения электродов для дополнительной гибкости тестирования.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- Электрод ОВП (</w:t>
            </w:r>
            <w:proofErr w:type="spellStart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окислительно</w:t>
            </w:r>
            <w:proofErr w:type="spellEnd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-восстановительный потенциал):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Внешний вид: смола PEI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 xml:space="preserve">Сравнительный: двойной, </w:t>
            </w:r>
            <w:proofErr w:type="spellStart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Ag</w:t>
            </w:r>
            <w:proofErr w:type="spellEnd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/</w:t>
            </w:r>
            <w:proofErr w:type="spellStart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AgCl</w:t>
            </w:r>
            <w:proofErr w:type="spellEnd"/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Соединение: Керамика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Электролит: гель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Диапазон OVP: ±2000 мВ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Совет: Платина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Размеры: 6,4 дюйма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Рекомендуемая рабочая температура: от -5 до 70°C (от 23 до 158°F)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lastRenderedPageBreak/>
              <w:t>Длина шнура питания: 6,6 футов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Соединение: БНК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Имеется сертификат производителя.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Товары должны быть новыми, неиспользованными, в неповрежденной упаковке и должным образом закрепленными.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весь объем поставки с условиями хранения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в течение. Согласуйте с клиентом перед доставкой.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</w:p>
          <w:p w:rsidR="004C2F4B" w:rsidRPr="007B4804" w:rsidRDefault="004C2F4B" w:rsidP="004C2F4B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/>
                <w:noProof/>
                <w:sz w:val="22"/>
                <w:szCs w:val="22"/>
                <w:lang w:eastAsia="en-US"/>
              </w:rPr>
              <w:drawing>
                <wp:inline distT="0" distB="0" distL="0" distR="0" wp14:anchorId="7DFB1531" wp14:editId="2469048B">
                  <wp:extent cx="1495013" cy="1304925"/>
                  <wp:effectExtent l="0" t="0" r="0" b="0"/>
                  <wp:docPr id="1456457824" name="Picture 14564578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147" cy="13172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C2F4B" w:rsidRPr="007B4804" w:rsidRDefault="004C2F4B" w:rsidP="004C2F4B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7B4804">
              <w:rPr>
                <w:rFonts w:ascii="Sylfaen" w:hAnsi="Sylfaen" w:cs="Open Sans"/>
                <w:noProof/>
                <w:color w:val="000000"/>
                <w:sz w:val="22"/>
                <w:szCs w:val="22"/>
                <w:shd w:val="clear" w:color="auto" w:fill="FFFFFF"/>
                <w:lang w:eastAsia="en-US"/>
              </w:rPr>
              <w:drawing>
                <wp:inline distT="0" distB="0" distL="0" distR="0" wp14:anchorId="6BE01931" wp14:editId="0F335EB2">
                  <wp:extent cx="1219200" cy="587977"/>
                  <wp:effectExtent l="0" t="0" r="0" b="3175"/>
                  <wp:docPr id="2904725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047252" name="Picture 2904725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397" cy="609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4C2F4B" w:rsidRPr="007B4804" w:rsidRDefault="004C2F4B" w:rsidP="004C2F4B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7B4804">
              <w:rPr>
                <w:rFonts w:ascii="Sylfaen" w:hAnsi="Sylfaen"/>
                <w:sz w:val="22"/>
                <w:szCs w:val="22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</w:tcPr>
          <w:p w:rsidR="004C2F4B" w:rsidRPr="007B4804" w:rsidRDefault="004C2F4B" w:rsidP="004C2F4B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7B4804">
              <w:rPr>
                <w:rFonts w:ascii="Sylfaen" w:hAnsi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851" w:type="dxa"/>
          </w:tcPr>
          <w:p w:rsidR="004C2F4B" w:rsidRPr="007B4804" w:rsidRDefault="004C2F4B" w:rsidP="004C2F4B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/>
                <w:sz w:val="22"/>
                <w:szCs w:val="22"/>
                <w:lang w:val="ru-RU"/>
              </w:rPr>
              <w:t xml:space="preserve">Ал. </w:t>
            </w:r>
            <w:proofErr w:type="spellStart"/>
            <w:r w:rsidRPr="007B4804">
              <w:rPr>
                <w:rFonts w:ascii="Sylfaen" w:hAnsi="Sylfaen"/>
                <w:sz w:val="22"/>
                <w:szCs w:val="22"/>
                <w:lang w:val="ru-RU"/>
              </w:rPr>
              <w:t>Манукян</w:t>
            </w:r>
            <w:proofErr w:type="spellEnd"/>
            <w:r w:rsidRPr="007B4804">
              <w:rPr>
                <w:rFonts w:ascii="Sylfaen" w:hAnsi="Sylfaen"/>
                <w:sz w:val="22"/>
                <w:szCs w:val="22"/>
                <w:lang w:val="ru-RU"/>
              </w:rPr>
              <w:t xml:space="preserve"> 1/3</w:t>
            </w:r>
          </w:p>
          <w:p w:rsidR="004C2F4B" w:rsidRPr="007B4804" w:rsidRDefault="004C2F4B" w:rsidP="004C2F4B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</w:p>
        </w:tc>
        <w:tc>
          <w:tcPr>
            <w:tcW w:w="2013" w:type="dxa"/>
            <w:vAlign w:val="center"/>
          </w:tcPr>
          <w:p w:rsidR="004C2F4B" w:rsidRPr="007B4804" w:rsidRDefault="004C2F4B" w:rsidP="004C2F4B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/>
                <w:sz w:val="22"/>
                <w:szCs w:val="22"/>
                <w:lang w:val="ru-RU"/>
              </w:rPr>
              <w:t xml:space="preserve">в течение 3 месяцев после вступления в силу договора, заключенного </w:t>
            </w:r>
            <w:r w:rsidRPr="007B4804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>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4C2F4B" w:rsidRPr="007B4804" w:rsidTr="00846521">
        <w:trPr>
          <w:trHeight w:val="20"/>
          <w:jc w:val="center"/>
        </w:trPr>
        <w:tc>
          <w:tcPr>
            <w:tcW w:w="851" w:type="dxa"/>
          </w:tcPr>
          <w:p w:rsidR="004C2F4B" w:rsidRPr="007B4804" w:rsidRDefault="004C2F4B" w:rsidP="004C2F4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Sylfaen" w:hAnsi="Sylfaen"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</w:tcPr>
          <w:p w:rsidR="004C2F4B" w:rsidRPr="007B4804" w:rsidRDefault="004C2F4B" w:rsidP="004C2F4B">
            <w:pPr>
              <w:jc w:val="center"/>
              <w:rPr>
                <w:rFonts w:ascii="Sylfaen" w:hAnsi="Sylfaen"/>
                <w:sz w:val="22"/>
                <w:szCs w:val="22"/>
                <w:highlight w:val="yellow"/>
              </w:rPr>
            </w:pPr>
            <w:r w:rsidRPr="007B4804">
              <w:rPr>
                <w:rFonts w:ascii="Sylfaen" w:hAnsi="Sylfaen"/>
                <w:sz w:val="22"/>
                <w:szCs w:val="22"/>
              </w:rPr>
              <w:t>42921180/509</w:t>
            </w:r>
          </w:p>
        </w:tc>
        <w:tc>
          <w:tcPr>
            <w:tcW w:w="1371" w:type="dxa"/>
            <w:vAlign w:val="center"/>
          </w:tcPr>
          <w:p w:rsidR="004C2F4B" w:rsidRPr="007B4804" w:rsidRDefault="004C2F4B" w:rsidP="004C2F4B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/>
                <w:sz w:val="22"/>
                <w:szCs w:val="22"/>
                <w:lang w:val="ru-RU"/>
              </w:rPr>
              <w:t>Аналитические весы с внутренней корректировкой</w:t>
            </w:r>
          </w:p>
        </w:tc>
        <w:tc>
          <w:tcPr>
            <w:tcW w:w="5575" w:type="dxa"/>
            <w:vAlign w:val="center"/>
          </w:tcPr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Точность: 0,1 мг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Должен иметь сенсорный светодиодный экран.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Датчик веса должен быть монолитным, состоящим из 1 цельной детали.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Возможность автоматической калибровки и настройки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Наличие не менее 12 встроенных приложений, в том числе: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- Взвешивание животных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- Расчет / свободный коэффициент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- Счет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- Определение плотности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- Определение процентного содержания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lastRenderedPageBreak/>
              <w:t>- Взвешивание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- Дозировка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- Статистика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Возможности подключения: как минимум RS232, USB-C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 xml:space="preserve">Диаметр весовой платформы: </w:t>
            </w:r>
            <w:r w:rsidRPr="007B4804">
              <w:rPr>
                <w:rFonts w:ascii="Sylfaen" w:hAnsi="Sylfaen" w:cs="Tahoma"/>
                <w:sz w:val="22"/>
                <w:szCs w:val="22"/>
                <w:lang w:val="hy-AM"/>
              </w:rPr>
              <w:t>±</w:t>
            </w:r>
            <w:r w:rsidRPr="007B4804">
              <w:rPr>
                <w:rFonts w:ascii="Sylfaen" w:hAnsi="Sylfaen" w:cs="Tahoma"/>
                <w:sz w:val="22"/>
                <w:szCs w:val="22"/>
                <w:lang w:val="ru-RU"/>
              </w:rPr>
              <w:t xml:space="preserve"> </w:t>
            </w: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90 мм; из нержавеющей стали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Выравнивание: Ручное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Повторяемость: 0,1 мг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Точность: 0,1 мг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Типичное время стабилизации не более 1,6 с.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Линейность: 0,2 мг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Максимальный вес: 60 г.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Товары должны быть новыми, неиспользованными, в неповрежденной упаковке и должным образом закрепленными.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весь объем поставки с условиями хранения</w:t>
            </w:r>
          </w:p>
          <w:p w:rsidR="004C2F4B" w:rsidRPr="007B4804" w:rsidRDefault="004C2F4B" w:rsidP="004C2F4B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 w:cs="Sylfaen"/>
                <w:sz w:val="22"/>
                <w:szCs w:val="22"/>
                <w:lang w:val="ru-RU"/>
              </w:rPr>
              <w:t>в течение. Согласуйте с клиентом перед доставкой.</w:t>
            </w:r>
          </w:p>
        </w:tc>
        <w:tc>
          <w:tcPr>
            <w:tcW w:w="992" w:type="dxa"/>
          </w:tcPr>
          <w:p w:rsidR="004C2F4B" w:rsidRPr="007B4804" w:rsidRDefault="004C2F4B" w:rsidP="004C2F4B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proofErr w:type="spellStart"/>
            <w:r w:rsidRPr="007B4804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</w:tcPr>
          <w:p w:rsidR="004C2F4B" w:rsidRPr="007B4804" w:rsidRDefault="004C2F4B" w:rsidP="004C2F4B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/>
                <w:sz w:val="22"/>
                <w:szCs w:val="22"/>
                <w:lang w:val="ru-RU"/>
              </w:rPr>
              <w:t>1</w:t>
            </w:r>
          </w:p>
        </w:tc>
        <w:tc>
          <w:tcPr>
            <w:tcW w:w="851" w:type="dxa"/>
          </w:tcPr>
          <w:p w:rsidR="004C2F4B" w:rsidRPr="007B4804" w:rsidRDefault="004C2F4B" w:rsidP="004C2F4B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7B4804">
              <w:rPr>
                <w:rFonts w:ascii="Sylfaen" w:hAnsi="Sylfaen"/>
                <w:sz w:val="22"/>
                <w:szCs w:val="22"/>
                <w:lang w:val="ru-RU"/>
              </w:rPr>
              <w:t xml:space="preserve">Ал. </w:t>
            </w:r>
            <w:proofErr w:type="spellStart"/>
            <w:r w:rsidRPr="007B4804">
              <w:rPr>
                <w:rFonts w:ascii="Sylfaen" w:hAnsi="Sylfaen"/>
                <w:sz w:val="22"/>
                <w:szCs w:val="22"/>
                <w:lang w:val="ru-RU"/>
              </w:rPr>
              <w:t>Манукян</w:t>
            </w:r>
            <w:proofErr w:type="spellEnd"/>
            <w:r w:rsidRPr="007B4804">
              <w:rPr>
                <w:rFonts w:ascii="Sylfaen" w:hAnsi="Sylfaen"/>
                <w:sz w:val="22"/>
                <w:szCs w:val="22"/>
                <w:lang w:val="ru-RU"/>
              </w:rPr>
              <w:t xml:space="preserve"> 1/3</w:t>
            </w:r>
          </w:p>
          <w:p w:rsidR="004C2F4B" w:rsidRPr="007B4804" w:rsidRDefault="004C2F4B" w:rsidP="004C2F4B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</w:p>
        </w:tc>
        <w:tc>
          <w:tcPr>
            <w:tcW w:w="2013" w:type="dxa"/>
            <w:vAlign w:val="center"/>
          </w:tcPr>
          <w:p w:rsidR="004C2F4B" w:rsidRPr="007B4804" w:rsidRDefault="004C2F4B" w:rsidP="004C2F4B">
            <w:pPr>
              <w:jc w:val="center"/>
              <w:rPr>
                <w:rFonts w:ascii="Sylfaen" w:hAnsi="Sylfaen"/>
                <w:i/>
                <w:iCs/>
                <w:sz w:val="22"/>
                <w:szCs w:val="22"/>
                <w:lang w:val="pt-BR"/>
              </w:rPr>
            </w:pPr>
            <w:r w:rsidRPr="007B4804">
              <w:rPr>
                <w:rFonts w:ascii="Sylfaen" w:hAnsi="Sylfaen"/>
                <w:sz w:val="22"/>
                <w:szCs w:val="22"/>
                <w:lang w:val="ru-RU"/>
              </w:rPr>
              <w:t xml:space="preserve"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</w:t>
            </w:r>
            <w:r w:rsidRPr="007B4804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>вступления договора в силу</w:t>
            </w:r>
          </w:p>
        </w:tc>
      </w:tr>
      <w:bookmarkEnd w:id="2"/>
    </w:tbl>
    <w:p w:rsidR="0086405D" w:rsidRPr="007B4804" w:rsidRDefault="0086405D" w:rsidP="0086405D">
      <w:pPr>
        <w:spacing w:line="276" w:lineRule="auto"/>
        <w:ind w:right="-384"/>
        <w:jc w:val="center"/>
        <w:rPr>
          <w:rFonts w:ascii="Sylfaen" w:hAnsi="Sylfaen"/>
          <w:b/>
          <w:sz w:val="22"/>
          <w:szCs w:val="22"/>
          <w:lang w:val="ru-RU"/>
        </w:rPr>
      </w:pPr>
    </w:p>
    <w:p w:rsidR="00152645" w:rsidRPr="007B4804" w:rsidRDefault="0088502E">
      <w:pPr>
        <w:rPr>
          <w:rFonts w:ascii="Sylfaen" w:hAnsi="Sylfaen"/>
          <w:sz w:val="22"/>
          <w:szCs w:val="22"/>
          <w:lang w:val="ru-RU"/>
        </w:rPr>
      </w:pPr>
    </w:p>
    <w:sectPr w:rsidR="00152645" w:rsidRPr="007B4804" w:rsidSect="0086405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2E" w:rsidRDefault="0088502E" w:rsidP="0086405D">
      <w:r>
        <w:separator/>
      </w:r>
    </w:p>
  </w:endnote>
  <w:endnote w:type="continuationSeparator" w:id="0">
    <w:p w:rsidR="0088502E" w:rsidRDefault="0088502E" w:rsidP="00864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2E" w:rsidRDefault="0088502E" w:rsidP="0086405D">
      <w:r>
        <w:separator/>
      </w:r>
    </w:p>
  </w:footnote>
  <w:footnote w:type="continuationSeparator" w:id="0">
    <w:p w:rsidR="0088502E" w:rsidRDefault="0088502E" w:rsidP="0086405D">
      <w:r>
        <w:continuationSeparator/>
      </w:r>
    </w:p>
  </w:footnote>
  <w:footnote w:id="1">
    <w:p w:rsidR="004F2299" w:rsidRPr="009450DF" w:rsidRDefault="004F2299" w:rsidP="0086405D">
      <w:pPr>
        <w:pStyle w:val="FootnoteText"/>
        <w:rPr>
          <w:rFonts w:asciiTheme="minorHAnsi" w:hAnsiTheme="minorHAnsi"/>
          <w:lang w:val="hy-AM"/>
        </w:rPr>
      </w:pPr>
    </w:p>
  </w:footnote>
  <w:footnote w:id="2">
    <w:p w:rsidR="004F2299" w:rsidRPr="009450DF" w:rsidRDefault="004F2299" w:rsidP="0086405D">
      <w:pPr>
        <w:pStyle w:val="FootnoteText"/>
        <w:rPr>
          <w:rFonts w:asciiTheme="minorHAnsi" w:hAnsiTheme="minorHAnsi"/>
          <w:lang w:val="hy-AM"/>
        </w:rPr>
      </w:pPr>
    </w:p>
  </w:footnote>
  <w:footnote w:id="3">
    <w:p w:rsidR="004F2299" w:rsidRPr="009450DF" w:rsidRDefault="004F2299" w:rsidP="0086405D">
      <w:pPr>
        <w:pStyle w:val="FootnoteText"/>
        <w:rPr>
          <w:rFonts w:asciiTheme="minorHAnsi" w:hAnsiTheme="minorHAnsi"/>
          <w:lang w:val="hy-AM"/>
        </w:rPr>
      </w:pPr>
    </w:p>
  </w:footnote>
  <w:footnote w:id="4">
    <w:p w:rsidR="004F2299" w:rsidRPr="00040945" w:rsidRDefault="004F2299" w:rsidP="0086405D">
      <w:pPr>
        <w:pStyle w:val="FootnoteText"/>
        <w:rPr>
          <w:rFonts w:asciiTheme="minorHAnsi" w:hAnsiTheme="minorHAnsi"/>
          <w:lang w:val="hy-AM"/>
        </w:rPr>
      </w:pPr>
    </w:p>
  </w:footnote>
  <w:footnote w:id="5">
    <w:p w:rsidR="00DD0E82" w:rsidRPr="00A52CAB" w:rsidRDefault="00DD0E82" w:rsidP="0086405D">
      <w:pPr>
        <w:pStyle w:val="FootnoteText"/>
        <w:rPr>
          <w:rFonts w:asciiTheme="minorHAnsi" w:hAnsiTheme="minorHAns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56D68"/>
    <w:multiLevelType w:val="hybridMultilevel"/>
    <w:tmpl w:val="65D40D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AF20693"/>
    <w:multiLevelType w:val="hybridMultilevel"/>
    <w:tmpl w:val="94309376"/>
    <w:lvl w:ilvl="0" w:tplc="6F629D6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E3A"/>
    <w:rsid w:val="000D00C8"/>
    <w:rsid w:val="001814D5"/>
    <w:rsid w:val="004C2F4B"/>
    <w:rsid w:val="004F2299"/>
    <w:rsid w:val="006A793B"/>
    <w:rsid w:val="007B4804"/>
    <w:rsid w:val="0086405D"/>
    <w:rsid w:val="0088502E"/>
    <w:rsid w:val="009C2E3A"/>
    <w:rsid w:val="00DD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E29C5"/>
  <w15:chartTrackingRefBased/>
  <w15:docId w15:val="{49E5C238-4B6C-4446-B5C0-08D0EADC7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405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405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86405D"/>
    <w:pPr>
      <w:ind w:left="720"/>
      <w:contextualSpacing/>
    </w:pPr>
  </w:style>
  <w:style w:type="character" w:customStyle="1" w:styleId="ListParagraphChar">
    <w:name w:val="List Paragraph Char"/>
    <w:aliases w:val="Bullets Char"/>
    <w:link w:val="ListParagraph"/>
    <w:uiPriority w:val="34"/>
    <w:locked/>
    <w:rsid w:val="0086405D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FootnoteText">
    <w:name w:val="footnote text"/>
    <w:basedOn w:val="Normal"/>
    <w:link w:val="FootnoteTextChar"/>
    <w:semiHidden/>
    <w:rsid w:val="0086405D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86405D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8640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1382</Words>
  <Characters>7881</Characters>
  <Application>Microsoft Office Word</Application>
  <DocSecurity>0</DocSecurity>
  <Lines>65</Lines>
  <Paragraphs>18</Paragraphs>
  <ScaleCrop>false</ScaleCrop>
  <Company/>
  <LinksUpToDate>false</LinksUpToDate>
  <CharactersWithSpaces>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7</cp:revision>
  <dcterms:created xsi:type="dcterms:W3CDTF">2024-10-08T08:01:00Z</dcterms:created>
  <dcterms:modified xsi:type="dcterms:W3CDTF">2024-10-08T08:06:00Z</dcterms:modified>
</cp:coreProperties>
</file>