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 C: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(С5 и более)-15%, прочие окислители-10 %, 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Необходимо, чтобы для обслуживания предоставленных купонов было обеспечено наличие зарядных станций во всех регионах РА и по всему миру. Поставка по заявке заказчика на закупку: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в квитанциях, цетановое число не менее 51, цетановый индекс не менее 46, плотность при 15 ° C от 820 до 845 кг/м3, содержание серы не более 350 мг/кг, температура воспламенения не ниже 55 ° C, углеродный остаток в 10% осадка не более 0,3%, вязкость при y 400C от 2,0 до 4,5 мм2/с, температура размытия: не выше 0 ° C. подача на талон: Талоны должны быть действительны в течение не менее 12 месяцев со дня поставки и должны быть обслужены в Ереване (по крайней мере, на одной заправочной станции в каждом административном районе) и во всех регионах Армении.безопасность,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5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