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գրասենյակային բազկաթոռների և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ani.nersisyan@parliament.am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գրասենյակային բազկաթոռների և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գրասենյակային բազկաթոռների և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ani.nersisyan@parliament.am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գրասենյակային բազկաթոռների և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ԷԱՃԱՊՁԲ-24/34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ԷԱՃԱՊՁԲ-24/34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ԷԱՃԱՊՁԲ-24/34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պտտվող, 5 շարժական որակյալ անիվներով:
խաչուկը մետաղական, քրոմապատ կամ փայտապատ, տրամագիծը՝ առնվազն 640մմ: Նստատեղն ու հենակը ամրացված բարձրորակ մեխանիզմով, տարբեր դիրքերում և տարբեր բարձրություններում ֆիքսվելու հնարավորությամբ:  
Պաստառի նյութը՝ արհեստական (էկոկաշի) կաշի, գույնը՝ սև, նստատեղի և թիկնակի սպունգը պետք է լինի բարձրորակ և ապահովի հարմարավետ փափկություն։
Բարձրությունը ցածր դիրքերում` 1120-1130մմ (թիկնակը ներառյալ)։ 
Բարձրությունը վերին դիրքերում` 1220-1230մմ (թիկնակը ներառյալ)։ 
Լայնությունը` 620-630մմ:  
Խորությունը` 450-500մմ: 
Նստատեղի լայնությունը` 500-550մմ: 
Նստատեղի խորությունը` 480-500մմ: 
Թիկնակի բարձրությունը նստատեղից` 730-750մմ: Արմնկակալի բարձրությունը նստատեղից՝ 180-190մմ: 
Թույլատրելի բեռնվածությունը՝ առնվազն 120կգ: 
Մատակարարման ժամանակ վնասվածքներից խուսափելու համար ապրանքը պետք է լինի փաթեթավորված։ 
Ապրանքները պետք է լինեն նոր (չօգտագործված) և մատակարարվեն վերջնական հավաքված վիճակում։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կահույքի լրակազմ, որը ներառում է երկտեղանի 1 հատ բազմոց և 1 բազկաթոռ (2+1): 
Բազմոցի արտաքին չափերը՝ ԵԽԲ 1700-1705x890-895x850-855մմ, 
բացված վիճակում՝ 1700-1705x1980-1985x610-615մմ, նստատեղի խորությունը՝ 630-635մմ, մեջքի բարձրությունը՝ 420-425մմ։
Բազկաթոռի արտաքին չափերը՝ ԵԽԲ 1040-1045x890-895x850-855սմ,իսկ բացված վիճակում՝ 1040-1045x1980-1985x610-615մմ, նստատեղի խորությունը՝ 630-635մմ, մեջքի բարձրությունը՝ 420-425մմ։
Կահույքի հիմքը, հենակները և մեջքի մասը՝ մշակված, չոր փայտից, փայտի չափերը՝ առնվազն 4x3սմ: 
Հիմքի փայտերը, նրբատախտակները միմյանց պետք է ամրացված լինեն սոսնձով և պտուտակներով:  
Նստատեղի և մեջքի հատվածում, այդ թվում նաև մեջքի ետնամասում, սպունգի հետ միասին պետք է լինեն էլաստիկ ռետինե գոտիներ (6-7 սմ լայնությամբ), որոնք  սպունգի և գոտիների միջև ամբողջ նստատեղի և մեջքի մակերեսով պետք է փակված լինեն բամբակյա գործվածքով (քաթան): 
Նստատեղի համար օգտագործվող նյութերը՝ առնվազն 12-14սմ հաստությամբ 35 կգ/խ.մ խտությամբ բարձրորակ սպունգ, մեջքի համար օգտագործվող նյութերը՝ առնվազն 6սմ հաստությամբ 30կգ/խ.մ խտությամբ բարձրորակ սպունգ։ 
Բազմոցի և բազկաթոռի հենակների յուրաքանչյուրի լայնքը` 14-15սմ։ Յուրաքանչյուր լրակազմում պետք է լինի՝ 48-48,5x26-26,5x15-15,5սմ, չափերի 3 հատ բարձ։ 
Կահույքը բոլոր կողմերից պետք է լինի պաստառապատված, բարձրորակ, դիմացկուն գործվածքից (100% պոլիեսթեր խտություն՝ 293-295 գր/մ²): 
Նախքան մատակարարումը, տեսքը, գույնը և ձևը համաձայնեցնել Պատվիրատուի հետ: 
Մատակարարման ժամանակ վնասվածքներից խուսափելու համար ապրանքը պետք է լինի փաթեթավորված։ Ապրանքները պետք է լինեն նոր (չօգտագործված) և մատակարարվեն վերջնական հավաքված վիճակում։ 
երաշխիքային ժամկետը՝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