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ԶՄՄԱԲԿ-ԷԱՃԱՊՁԲ-66/24</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150С от 820 до 845 кг/м3, содержание серы не более 350 мг/кг, температура воспламенения не ниже 550С, остаток углерода не более 0,3% в осадок 10%, вязкость при 400С: 2,0-4,5 мм2/с, температура помутнения не выше 00С, безопасность, маркировка и упаковка согласно постановлению Правительства РА 2004г. «Технический регламент топлива для двигателей внутреннего сгорания», утвержденный постановлением N 1592 от 11 ноября. Доставка по талонам через заправки города Армавира.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