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Эмаль, гипсонит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ՀԱԷԿ-ԷԱՃԱՊՁԲ-164/24</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Эмаль, гипсонит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Эмаль, гипсонит</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Эмаль, гипсонит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с блеском, ГОСТ 6465 или аналог, цвет – белая, уровень блеска поверхности – 50% и более; доля нелетучих компонентов в составе – от 49% до 70%; пока затель адгезии – до 1 балла; удельная твердость – 0,15-0,2 у.е.; условная вязкость – 60-120 у.е.; ударная проч-ность – более 40%; укрывистость – 60-100 г/кв.м, время высыхания -14час+20˚C, плотность атмосферы -1.0-1.3 кг/л,  осадка 65%,  расход - 90÷150г/м² - 1слой, тара – 0.9÷20  литровый.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Мешках по 10-30 кг, толщина слоя не менее 1см, время пригодности растворной смеси не менее 10 минут, усадка не более 0.8мм/м, расход сухой смеси при толщине слоя 1см-11кг/1м². Должны быть изготовлены не ранее чем за 6 месяцев до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