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ՍՄԿԲԿ-ԷԱՃԱՊՁԲ-24/17</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внешний вид чистый и прозрачный, октановое число, определенное по методу исследования, не менее 91, по моторному методу, не менее 81, Давление насыщенных паров бензина от 45 до 100 кПа, Содержание свинца не более  5 мг/дм3, Объем бензола не более 1%, плотность при 15 ° С, от 720 до 775 кг / м 3, Массовая доля серы не более 10 мг/кг  , массовая доля кислорода - не более 2,7%․ Mаркировка и упаковка в соответствии с Постановлением Правительства РА 2004 года. «Технический регламент на топливо для двигателей внутреннего сгорания», утвержденный Решением № 1592-N от 11 ноября 2009 г.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М.Степанян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подписания договора /если поставщик не согласен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