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ԲՏԱՆ-ԷԱՃԱՊՁԲ-2025/01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ԲՏԱՆ-ԷԱՃԱՊՁԲ-2025/01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ԲՏԱՆ-ԷԱՃԱՊՁԲ-2025/01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ԲՏԱՆ-ԷԱՃԱՊՁԲ-2025/01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ԲՏԱՆ-ԷԱՃԱՊՁԲ-2025/01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