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87" w:rsidRPr="00915C9F" w:rsidRDefault="001E6287" w:rsidP="00915C9F">
      <w:pPr>
        <w:spacing w:line="360" w:lineRule="auto"/>
        <w:ind w:left="-180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Հրազդանի   համայնքապետարանի</w:t>
      </w:r>
    </w:p>
    <w:p w:rsidR="001E6287" w:rsidRPr="00915C9F" w:rsidRDefault="001E6287" w:rsidP="00915C9F">
      <w:pPr>
        <w:spacing w:line="360" w:lineRule="auto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 աուդիտի ծառայության գնման հայտում ներառվող՝ ծառայության բնութագրին և մասնակիցների որակավորման չափանիշներին ներկայացվող պահանջներ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շրջանակը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նպատակով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հրավիրված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անձը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գնահատի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միջավայրը՝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ֆինանսական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հսկողության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կապված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առաջարկների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ներկայացման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միջոցով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օժանդակի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ղեկավարությանը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ձեռնարկել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միջոցառումներ՝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նպատակներին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դրանում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հնարավոր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ռիսկերը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Նախկինում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արդյունքները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ընդունվեն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գիտություն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առնվեն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հետագա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աշխատանքներում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վերջինիս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կողմից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նկատմամբ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ներկայացվող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ընդհանուր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պահանջներ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անկախությունը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հաշվետու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կոմիտեին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կոմիտեի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քարտուղարի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պարտականությունները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չի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որևէ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բացի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գործունեության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գործառույթներից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Կատարողը պետք է իրականացնի կազմակերպության ներքին աուդիտի միջավայրի ուսումնասիրություն և գնահատում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Ձեռքբերվող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նկարագիրը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pStyle w:val="ListParagraph"/>
        <w:numPr>
          <w:ilvl w:val="0"/>
          <w:numId w:val="2"/>
        </w:numPr>
        <w:autoSpaceDN w:val="0"/>
        <w:spacing w:line="360" w:lineRule="auto"/>
        <w:ind w:left="0" w:firstLine="567"/>
        <w:contextualSpacing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պարտավոր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ուժի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մեջ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մտնելու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օրվանից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ձեռնարկի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բոլոր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գործողությունների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կատարումը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այնպիսի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ժամկետներում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որպեսզի՝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20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24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թվականն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ընգրկող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ժամանակահատվածից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սկսած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մինչև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գործողության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ժամկետի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ավարտը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ապահովի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սույն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տեխնիկական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բնութագրով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մատուցումը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2) Սույն բաժնի 1-ին կետով սահմանված պարտականության կատարման նպատակով Կատարողը պարտավոր է.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ա) կազմել ներքին աուդիտի որակի երաշխավորման և բարելավման ծրագիր, ապահովել դրա կատարումը.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և ղեկավարի հաստատմանը ներկայացնել ներքին աուդիտի կանոնակարգը.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ռազմավարական և տարեկան ծրագրերը՝ կազմակերպության ռիսկերի գնահատման, ինչպես նաև ղեկավարի կողմից մատնանշված խնդիրների հիման վրա.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 ղեկավարության կողմից ռիսկերի բացահայտում, գնահատում և կառավարում,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տնտեսող, արդյունավետ և օգտավետ գործառույթներ,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տեղեկությունների վստահելիություն և ամբողջականություն,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առաջադրանքների կատարում և նպատակների իրագործում:</w:t>
      </w:r>
    </w:p>
    <w:p w:rsidR="001E6287" w:rsidRPr="00915C9F" w:rsidRDefault="001E6287" w:rsidP="001E6287">
      <w:pPr>
        <w:spacing w:line="360" w:lineRule="auto"/>
        <w:ind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ե) տրամադրել.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հավաստիացում առ այն, որ կազմակերպությունում առկա կառավարչական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հաստատում առ այն, որ ղեկավարը կազմակերպության այլ պաշտոնատար անձանցից ստանում է/չի ստանում/մասամբ է ստանում պատշաճ որակի և հուսալի տեղեկատվություն.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զ)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և ղեկավարին ու ներքին աուդիտի կոմիտեին ներկայացնել ներքին աուդիտի մասին օրենսդրությամբ նախատեսված հաշվետվությունները.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իրականացված աուդիտորական առաջադրանքների արդյունքների վերաբերյալ պարբերական հաշվետվություններ.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ներքին աուդիտի գործունեության արդյունքների վերաբերյալ տարեկան հաշվետվություն. 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նպատակով։ Կատարողը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կազմակերպել աշխատանքային փաստաթղթերի պատշաճ փաստաթղթավորում և պահպանում:</w:t>
      </w:r>
    </w:p>
    <w:p w:rsidR="001E6287" w:rsidRPr="00915C9F" w:rsidRDefault="001E6287" w:rsidP="001E6287">
      <w:pPr>
        <w:numPr>
          <w:ilvl w:val="0"/>
          <w:numId w:val="4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համագործակցությունը այլ ներքին և արտաքին հավաստիացումներ տրամադրողների հետ.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Կատարողը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ղեկավարի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հետ՝ նրանց աջակցելու և համապատասխան տեղեկատվություն տրամադրելու նպատակով:</w:t>
      </w:r>
    </w:p>
    <w:p w:rsidR="001E6287" w:rsidRPr="00915C9F" w:rsidRDefault="001E6287" w:rsidP="001E6287">
      <w:pPr>
        <w:numPr>
          <w:ilvl w:val="0"/>
          <w:numId w:val="4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Լիազոր մարմնին տրամադրվող տեղեկատվություն.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Կատարողը ՀՀ ֆինանսների նախարարությանը՝ որպես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օրենքով սահմանված լիազոր մարմին (այսուհետ՝ Լիազոր մարմին) պետք է տրամադրի ներքին աուդիտի մասին ՀՀ օրենսդրությամբ նախատեսված հետևյալ տեղեկատվությունը.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ՀՀ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հաջորդող տարվա տարեկան ծրագիրը ՝ մինչև տվյալ տարվա դեկտեմբերի 1-ը.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ե)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հաշվետվություն՝ ՀՀ ֆինանսների նախարարի 2012 թվականի փետրվարի 17-ի  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զ)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ներքին աուդիտի տարեկան ամփոփ հաշվետվություն՝ մինչև հաջորդ տարվա մարտի 1-ը.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:rsidR="001E6287" w:rsidRPr="00915C9F" w:rsidRDefault="001E6287" w:rsidP="001E6287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ծառայությունը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մատուցող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Կատարողի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նկատմամբ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ընդհանուր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պահանջներ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 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ընդգրկված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Լիազոր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մարմնի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կողմից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վարվող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որակավորում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ունեցող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ցանկում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ցանկ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Կատարողի՝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սույն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տեխնիկական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բնութագրով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նախատեսված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ներգրավված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համատեղությամբ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չաշխատեն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և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/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արտաքին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որպես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: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ծրագիրը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կազմելուց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անհրաժեշտ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մարդկային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հաշվարկելուց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հետո՝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անհրաժեշտության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դեպքում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ներգրավել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լրացուցիչ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համաձայնեցնելով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Պատվիրատուի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հետ։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Նշվածի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Ï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ունենա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կարգով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հաշվարկված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բավարար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քանակությամբ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մարդկային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միջավայրի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տարրերի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ռիսկերի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գնահատման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արդյունքներով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ռազմավարական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ծրագրերը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պատշաճ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կերպով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համար։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 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պահանջներին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մասնագիտական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գործունեության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ստանդարտներին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համապատասխան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պահպանի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վարքագծի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կանոնները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գնման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ժամանակացույցը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915C9F" w:rsidRPr="00915C9F" w:rsidRDefault="001E6287" w:rsidP="00915C9F">
      <w:pPr>
        <w:spacing w:line="360" w:lineRule="auto"/>
        <w:ind w:left="90" w:firstLine="540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մատուցումն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իրականացվում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պայմանագիրն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ուժի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մեջ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մտնելու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օրվանից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մինչև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20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>25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թվականի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>հունվարի 1-ը։</w:t>
      </w:r>
    </w:p>
    <w:p w:rsidR="001E6287" w:rsidRPr="00915C9F" w:rsidRDefault="001E6287" w:rsidP="00915C9F">
      <w:pPr>
        <w:spacing w:line="360" w:lineRule="auto"/>
        <w:ind w:left="90" w:firstLine="540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ընդունման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վճարման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ժամանակացույցը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Պայմանագրի կատարումն ընդունելու նպատակով յուրաքանչյուր հանձնման-ընդունման արձանագրության հետ մեկտեղ Կատարողը ներկայացնում է հաշվետվություն հաշվետու ժամանակահատվածում մատուցված ծառայության մասին՝ նշելով ծառայություն մատուցողի անունը, ծառայության բնույթը, բովանդակությունը և դրա փաստաթղթավորված արդյունքը, ինչպես նաև իր կողմից հաստատած գրավոր հավաստում, որ ծառայությունը մատուցվել է գնման ընթացակարգին մասնակցելու շրջանակում հրավերով նախատեսված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Աշխատանքային ռեսուրսներ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որակավորման չափանիշի գնահատման նպատակով ներկայացված մասնագետների կողմից` կցելով նաև վերջիններիս կողմից հաստատված ինքնակենսագրությունները:</w:t>
      </w:r>
    </w:p>
    <w:p w:rsidR="001E6287" w:rsidRPr="00915C9F" w:rsidRDefault="001E6287" w:rsidP="001E6287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Վճարումն իրականացվում է պայմանագրով սահմանված վճարման ժամանակացույցով նախատեսված ամիսներին` հաշվետու ժամանակահատվածի համար ներքին աուդիտի տարեկան ծրագրով նախատեսված աուդիտորական առաջադրանքների կատարման՝ դրանց վերաբերյալ ներկայացված հաշվետվությունների առկայության և Պատվիրատուի կողմից տրված դրական եզրակացության դեպքում (եզրակացությունը ստորագրվում է և հանձնման- ընդունման աևձանագրությունը Մասնակցին ներկայացվում է 7 աշխատանքային օրվա ընթացքում)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numPr>
          <w:ilvl w:val="0"/>
          <w:numId w:val="5"/>
        </w:num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20</w:t>
      </w:r>
      <w:r w:rsidR="00915C9F" w:rsidRPr="00915C9F">
        <w:rPr>
          <w:rFonts w:ascii="GHEA Grapalat" w:hAnsi="GHEA Grapalat" w:cs="Sylfaen"/>
          <w:noProof/>
          <w:sz w:val="22"/>
          <w:szCs w:val="22"/>
          <w:lang w:val="hy-AM"/>
        </w:rPr>
        <w:t>24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թվականի հունվարի 1-ից մինչև պայմանագրի գործողության ավարտը յուրաքանչյուր եռամսյակը, ընդ որում չորրորդ եռամսյակի հաշվետվությունները ներկայացվում են մինչև տվյալ տարվա դեկտեմբերի 10-ը, իսկ պայմանագրի գործողության ընթացքում վերջին ժամանակահատվածը ժամկետի լրանալուց 15 աշխատանքային օր առաջ:</w:t>
      </w:r>
    </w:p>
    <w:p w:rsidR="001E6287" w:rsidRPr="00915C9F" w:rsidRDefault="001E6287" w:rsidP="001E6287">
      <w:pPr>
        <w:pStyle w:val="ListParagraph"/>
        <w:numPr>
          <w:ilvl w:val="0"/>
          <w:numId w:val="1"/>
        </w:numPr>
        <w:autoSpaceDN w:val="0"/>
        <w:spacing w:line="360" w:lineRule="auto"/>
        <w:contextualSpacing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«Աշխատանքային ռեսուրսներ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որակավորման չափանիշին ներկայացվող պահանջներ.</w:t>
      </w:r>
    </w:p>
    <w:p w:rsidR="001E6287" w:rsidRPr="00915C9F" w:rsidRDefault="001E6287" w:rsidP="001E6287">
      <w:pPr>
        <w:numPr>
          <w:ilvl w:val="0"/>
          <w:numId w:val="6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Մասնակիցը հայտով ներկայացնում է հայտարարություն այն մասին, որ ունի կնքվելիք պայմանագրի կատարման համար անհրաժեշտ աշխատանքային ռեսուրսներ: Ընդ որում, պայմանագրի կատարման համար պահանջվող աշխատանքային ռեսուրսների նվազագույն պահանջներն են` </w:t>
      </w:r>
    </w:p>
    <w:p w:rsidR="001E6287" w:rsidRPr="00915C9F" w:rsidRDefault="001E6287" w:rsidP="001E6287">
      <w:pPr>
        <w:spacing w:line="360" w:lineRule="auto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նվազագույնը 3 ներքին աուդիտոր, որոնք պետք է ունենան հանրային հատվածի ներքին աուդիտորի որակավորում և աուդիտորի մասնագիտական գործունեության առնվազն 3 տարվա աշխատանքային փորձ: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հավաստագիր, ինքնակենսագրություն (CV)), աշխատանքային պայմանագրերի և նմանատիպ աշխատանքների կատարումը հավաստող այլ փաստաթղթերի պատճեններ, ինչպես նաև համապատասխան գործատուի մոտ կատարած աշխատանքները հավաստող գործատու(ներ)ի ղեկավարի կողմից ստորագրված երաշխավոր(ներ)ի նամակ(ներ) և ստորագրված գրավոր հայտարարություն՝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ՀՀ օրենքի 9-րդ հոդվածի 4-րդ մասով նախատեսված սահմանափակումների բացակության մասին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5. &lt;&lt;Տեխնիկական միջոցներ&gt;&gt; որակավորման չափանիշին ներկայացվող պահանջ.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մասին.</w:t>
      </w:r>
    </w:p>
    <w:p w:rsidR="001E6287" w:rsidRPr="00915C9F" w:rsidRDefault="001E6287" w:rsidP="001E6287">
      <w:pPr>
        <w:spacing w:line="360" w:lineRule="auto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   </w:t>
      </w:r>
      <w:r w:rsidR="000511BD"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6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.«Ֆինանսական միջոցներ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որակավորման չափանիշին ներկայացվող պահանջ.</w:t>
      </w:r>
    </w:p>
    <w:p w:rsidR="001E6287" w:rsidRPr="00915C9F" w:rsidRDefault="001E6287" w:rsidP="001E6287">
      <w:pPr>
        <w:pStyle w:val="norm"/>
        <w:spacing w:line="360" w:lineRule="auto"/>
        <w:ind w:firstLine="567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>ա. Հայաստանի Հանրապետության ռեզիդենտ հանդիսացող մասնակցի, բացառությամբ անհատ ձեռնարկատեր չհանդիսացող ֆիզիկական անձի,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առաջարկից.</w:t>
      </w:r>
    </w:p>
    <w:p w:rsidR="001E6287" w:rsidRPr="00915C9F" w:rsidRDefault="001E6287" w:rsidP="001E6287">
      <w:pPr>
        <w:pStyle w:val="norm"/>
        <w:spacing w:line="360" w:lineRule="auto"/>
        <w:ind w:firstLine="0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 xml:space="preserve">բ. սույն ենթակետի ա)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</w:t>
      </w:r>
    </w:p>
    <w:p w:rsidR="001E6287" w:rsidRPr="00915C9F" w:rsidRDefault="001E6287" w:rsidP="001E6287">
      <w:pPr>
        <w:pStyle w:val="norm"/>
        <w:spacing w:line="360" w:lineRule="auto"/>
        <w:ind w:firstLine="567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>գ. եթե մասնակիցը չի հանդիսանում Հայաստանի Հանրապետության ռեզիդենտ կամ մասնակիցը անհատ ձեռնարկատեր չհանդիսացող ֆիզիկական անձ է, ապա սույն ենթակետի ա) պարբերությամբ նախատեսված պայմանը չի գործում և տվյալ մասնակիցը հայտով ներկայացնում է միայն հայտարարություն.</w:t>
      </w:r>
    </w:p>
    <w:p w:rsidR="001E6287" w:rsidRPr="00915C9F" w:rsidRDefault="000511BD" w:rsidP="001E6287">
      <w:pPr>
        <w:spacing w:line="360" w:lineRule="auto"/>
        <w:ind w:left="810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7</w:t>
      </w:r>
      <w:r w:rsidR="001E6287"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.Այլ տեղեկություններ.</w:t>
      </w:r>
    </w:p>
    <w:p w:rsidR="001E6287" w:rsidRPr="00915C9F" w:rsidRDefault="001E6287" w:rsidP="001E6287">
      <w:pPr>
        <w:numPr>
          <w:ilvl w:val="0"/>
          <w:numId w:val="7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color w:val="000000"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 xml:space="preserve">ՀՀ հանրային հատվածի կազմակերպության գործառույթները սահմանված են </w:t>
      </w:r>
      <w:r w:rsidRPr="00915C9F">
        <w:rPr>
          <w:rFonts w:ascii="GHEA Grapalat" w:hAnsi="GHEA Grapalat" w:cs="Arial"/>
          <w:noProof/>
          <w:color w:val="000000"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>Կառավարության կառուցվածքի և գործունեության մասին</w:t>
      </w:r>
      <w:r w:rsidRPr="00915C9F">
        <w:rPr>
          <w:rFonts w:ascii="GHEA Grapalat" w:hAnsi="GHEA Grapalat" w:cs="Arial"/>
          <w:noProof/>
          <w:color w:val="000000"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 xml:space="preserve"> օրենքով, ՀՀ վարչապետի որոշմամբ և այլ նորմատիվ իրավական ակտերով,</w:t>
      </w:r>
    </w:p>
    <w:p w:rsidR="00D75FE8" w:rsidRPr="00915C9F" w:rsidRDefault="009F0445" w:rsidP="009F0445">
      <w:pPr>
        <w:pStyle w:val="ListParagraph"/>
        <w:ind w:left="1890" w:right="25"/>
        <w:rPr>
          <w:rFonts w:ascii="GHEA Grapalat" w:hAnsi="GHEA Grapalat"/>
          <w:b/>
          <w:lang w:val="hy-AM"/>
        </w:rPr>
      </w:pPr>
      <w:r w:rsidRPr="00915C9F">
        <w:rPr>
          <w:rFonts w:ascii="GHEA Grapalat" w:hAnsi="GHEA Grapalat"/>
          <w:b/>
          <w:lang w:val="hy-AM"/>
        </w:rPr>
        <w:t xml:space="preserve">            </w:t>
      </w:r>
    </w:p>
    <w:p w:rsidR="007E3803" w:rsidRPr="00915C9F" w:rsidRDefault="00D75FE8" w:rsidP="009F0445">
      <w:pPr>
        <w:pStyle w:val="ListParagraph"/>
        <w:ind w:left="1890" w:right="25"/>
        <w:rPr>
          <w:rFonts w:ascii="GHEA Grapalat" w:hAnsi="GHEA Grapalat"/>
          <w:b/>
          <w:lang w:val="hy-AM"/>
        </w:rPr>
      </w:pPr>
      <w:r w:rsidRPr="00915C9F">
        <w:rPr>
          <w:rFonts w:ascii="GHEA Grapalat" w:hAnsi="GHEA Grapalat"/>
          <w:b/>
          <w:lang w:val="hy-AM"/>
        </w:rPr>
        <w:lastRenderedPageBreak/>
        <w:t xml:space="preserve">      </w:t>
      </w:r>
      <w:r w:rsidR="007E3803" w:rsidRPr="00915C9F">
        <w:rPr>
          <w:rFonts w:ascii="GHEA Grapalat" w:hAnsi="GHEA Grapalat"/>
          <w:b/>
          <w:lang w:val="hy-AM"/>
        </w:rPr>
        <w:t>ԱՈՒԴԻՏԻ ԵՆԹԱՐԿՎՈՂ ՄԻԱՎՈՐՆԵՐԻ ՑԱՆԿԸ</w:t>
      </w:r>
    </w:p>
    <w:p w:rsidR="007E3803" w:rsidRPr="00915C9F" w:rsidRDefault="00E95D19" w:rsidP="00E95D19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outlineLvl w:val="1"/>
        <w:rPr>
          <w:rFonts w:ascii="GHEA Grapalat" w:hAnsi="GHEA Grapalat"/>
          <w:lang w:val="hy-AM"/>
        </w:rPr>
      </w:pPr>
      <w:r w:rsidRPr="00915C9F">
        <w:rPr>
          <w:rFonts w:ascii="GHEA Grapalat" w:hAnsi="GHEA Grapalat"/>
          <w:lang w:val="hy-AM"/>
        </w:rPr>
        <w:t xml:space="preserve">     </w:t>
      </w:r>
      <w:r w:rsidR="007E3803" w:rsidRPr="00915C9F">
        <w:rPr>
          <w:rFonts w:ascii="GHEA Grapalat" w:hAnsi="GHEA Grapalat"/>
          <w:lang w:val="hy-AM"/>
        </w:rPr>
        <w:t>Արդյունքում կազմվել է ներքին աուդիտի ծառայության 20</w:t>
      </w:r>
      <w:r w:rsidR="00915C9F" w:rsidRPr="00915C9F">
        <w:rPr>
          <w:rFonts w:ascii="GHEA Grapalat" w:hAnsi="GHEA Grapalat"/>
          <w:lang w:val="hy-AM"/>
        </w:rPr>
        <w:t>24</w:t>
      </w:r>
      <w:r w:rsidR="007E3803" w:rsidRPr="00915C9F">
        <w:rPr>
          <w:rFonts w:ascii="GHEA Grapalat" w:hAnsi="GHEA Grapalat"/>
          <w:lang w:val="hy-AM"/>
        </w:rPr>
        <w:t>թ. ռազմավարական ծրագրի աուդիտի ենթակա հետևյալ միավորների ցանկը.</w:t>
      </w:r>
    </w:p>
    <w:p w:rsidR="002925F0" w:rsidRDefault="002925F0" w:rsidP="00E95D19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outlineLvl w:val="1"/>
        <w:rPr>
          <w:rFonts w:ascii="Sylfaen" w:hAnsi="Sylfaen"/>
          <w:i/>
          <w:lang w:val="hy-AM"/>
        </w:rPr>
      </w:pPr>
    </w:p>
    <w:tbl>
      <w:tblPr>
        <w:tblW w:w="905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8174"/>
      </w:tblGrid>
      <w:tr w:rsidR="00915C9F" w:rsidRPr="009F0445" w:rsidTr="00915C9F">
        <w:trPr>
          <w:trHeight w:val="54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right="25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color w:val="000000" w:themeColor="text1"/>
                <w:lang w:val="hy-AM"/>
              </w:rPr>
              <w:t>N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right="25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color w:val="000000" w:themeColor="text1"/>
                <w:lang w:val="hy-AM"/>
              </w:rPr>
              <w:t>Միավորի անվանումը</w:t>
            </w:r>
          </w:p>
        </w:tc>
      </w:tr>
      <w:tr w:rsidR="007E3803" w:rsidRPr="009F0445" w:rsidTr="00915C9F">
        <w:trPr>
          <w:trHeight w:val="438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03" w:rsidRPr="00915C9F" w:rsidRDefault="00915C9F" w:rsidP="00915C9F">
            <w:pPr>
              <w:jc w:val="center"/>
              <w:rPr>
                <w:rFonts w:ascii="GHEA Grapalat" w:hAnsi="GHEA Grapalat" w:cs="Sylfaen"/>
                <w:b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>2024</w:t>
            </w:r>
            <w:r w:rsidR="007E3803" w:rsidRPr="00915C9F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>թ.</w:t>
            </w:r>
          </w:p>
        </w:tc>
      </w:tr>
      <w:tr w:rsidR="00915C9F" w:rsidRPr="00915C9F" w:rsidTr="00915C9F">
        <w:trPr>
          <w:trHeight w:val="2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Եկամուտների հաշվառման և հավաքագրման բաժին</w:t>
            </w:r>
          </w:p>
        </w:tc>
      </w:tr>
      <w:tr w:rsidR="00915C9F" w:rsidRPr="009F0445" w:rsidTr="00915C9F">
        <w:trPr>
          <w:trHeight w:val="2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Ֆինանսատնտեսագ</w:t>
            </w:r>
            <w:bookmarkStart w:id="0" w:name="_GoBack"/>
            <w:bookmarkEnd w:id="0"/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իտական  բաժին</w:t>
            </w:r>
          </w:p>
        </w:tc>
      </w:tr>
      <w:tr w:rsidR="00915C9F" w:rsidRPr="00915C9F" w:rsidTr="00915C9F">
        <w:trPr>
          <w:trHeight w:val="40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3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 w:cs="Miriam Transparent"/>
                <w:lang w:val="hy-AM" w:bidi="he-IL"/>
              </w:rPr>
              <w:t>Կոմունալ տնտեսության, համատիրությունների աշխատանքների համակարգման և տրանսպորտի բաժին</w:t>
            </w:r>
          </w:p>
        </w:tc>
      </w:tr>
      <w:tr w:rsidR="00915C9F" w:rsidRPr="00915C9F" w:rsidTr="00915C9F">
        <w:trPr>
          <w:trHeight w:val="35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4.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Կրթության, մշակույթի, սպորտի, երիտասարդության և սոցիալական աջակցության բաժին</w:t>
            </w:r>
          </w:p>
        </w:tc>
      </w:tr>
      <w:tr w:rsidR="00915C9F" w:rsidRPr="009F0445" w:rsidTr="00B33DD6">
        <w:trPr>
          <w:trHeight w:val="35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5.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Գյուղատնտեսություն և բնապահպանության բաժին</w:t>
            </w:r>
          </w:p>
        </w:tc>
      </w:tr>
      <w:tr w:rsidR="00915C9F" w:rsidRPr="009F0445" w:rsidTr="00915C9F">
        <w:trPr>
          <w:trHeight w:val="35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6.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Քաղաքաշինության և հողաշինության բաժին</w:t>
            </w:r>
          </w:p>
        </w:tc>
      </w:tr>
      <w:tr w:rsidR="00915C9F" w:rsidRPr="00915C9F" w:rsidTr="00915C9F">
        <w:trPr>
          <w:trHeight w:val="40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7.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«Հրազդանի Արամ Խաչատրյանի անվան երաժտական դպրոց»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 xml:space="preserve"> ՀՈԱԿ</w:t>
            </w:r>
          </w:p>
        </w:tc>
      </w:tr>
      <w:tr w:rsidR="00915C9F" w:rsidRPr="00915C9F" w:rsidTr="00915C9F">
        <w:trPr>
          <w:trHeight w:val="42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8.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Կոստան Զարյանի անվան արվեստի դպրոց» ՀՈԱԿ</w:t>
            </w:r>
          </w:p>
        </w:tc>
      </w:tr>
      <w:tr w:rsidR="00915C9F" w:rsidRPr="00915C9F" w:rsidTr="00915C9F">
        <w:trPr>
          <w:trHeight w:val="417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9.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մանկապատանեկան ստեղծագործական կենտրոն» բյուջետային հիմնարկ</w:t>
            </w:r>
          </w:p>
        </w:tc>
      </w:tr>
      <w:tr w:rsidR="00915C9F" w:rsidRPr="00915C9F" w:rsidTr="00915C9F">
        <w:trPr>
          <w:trHeight w:val="417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10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hyperlink r:id="rId6" w:tgtFrame="_blank" w:history="1">
              <w:r w:rsidRPr="00915C9F">
                <w:rPr>
                  <w:rStyle w:val="Hyperlink"/>
                  <w:rFonts w:ascii="GHEA Grapalat" w:hAnsi="GHEA Grapalat"/>
                  <w:lang w:val="hy-AM"/>
                </w:rPr>
                <w:t xml:space="preserve"> Հրազդանի համայնքապետարանի «Վարչական շենքի սպասարկման  և պահպանման»</w:t>
              </w:r>
            </w:hyperlink>
            <w:r w:rsidRPr="00915C9F">
              <w:rPr>
                <w:rFonts w:ascii="GHEA Grapalat" w:hAnsi="GHEA Grapalat"/>
                <w:lang w:val="hy-AM"/>
              </w:rPr>
              <w:t xml:space="preserve"> հիմնարկ</w:t>
            </w:r>
          </w:p>
        </w:tc>
      </w:tr>
      <w:tr w:rsidR="00915C9F" w:rsidRPr="00915C9F" w:rsidTr="00915C9F">
        <w:trPr>
          <w:trHeight w:val="27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 xml:space="preserve">Հրազդանի համայնքապետարանի </w:t>
            </w:r>
            <w:r w:rsidRPr="00915C9F">
              <w:rPr>
                <w:rFonts w:ascii="GHEA Grapalat" w:hAnsi="GHEA Grapalat"/>
              </w:rPr>
              <w:fldChar w:fldCharType="begin"/>
            </w:r>
            <w:r w:rsidRPr="00915C9F">
              <w:rPr>
                <w:rFonts w:ascii="GHEA Grapalat" w:hAnsi="GHEA Grapalat"/>
                <w:lang w:val="ru-RU"/>
              </w:rPr>
              <w:instrText xml:space="preserve"> </w:instrText>
            </w:r>
            <w:r w:rsidRPr="00915C9F">
              <w:rPr>
                <w:rFonts w:ascii="GHEA Grapalat" w:hAnsi="GHEA Grapalat"/>
              </w:rPr>
              <w:instrText>HYPERLINK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 "</w:instrText>
            </w:r>
            <w:r w:rsidRPr="00915C9F">
              <w:rPr>
                <w:rFonts w:ascii="GHEA Grapalat" w:hAnsi="GHEA Grapalat"/>
              </w:rPr>
              <w:instrText>https</w:instrText>
            </w:r>
            <w:r w:rsidRPr="00915C9F">
              <w:rPr>
                <w:rFonts w:ascii="GHEA Grapalat" w:hAnsi="GHEA Grapalat"/>
                <w:lang w:val="ru-RU"/>
              </w:rPr>
              <w:instrText>://</w:instrText>
            </w:r>
            <w:r w:rsidRPr="00915C9F">
              <w:rPr>
                <w:rFonts w:ascii="GHEA Grapalat" w:hAnsi="GHEA Grapalat"/>
              </w:rPr>
              <w:instrText>hrazdan</w:instrText>
            </w:r>
            <w:r w:rsidRPr="00915C9F">
              <w:rPr>
                <w:rFonts w:ascii="GHEA Grapalat" w:hAnsi="GHEA Grapalat"/>
                <w:lang w:val="ru-RU"/>
              </w:rPr>
              <w:instrText>.</w:instrText>
            </w:r>
            <w:r w:rsidRPr="00915C9F">
              <w:rPr>
                <w:rFonts w:ascii="GHEA Grapalat" w:hAnsi="GHEA Grapalat"/>
              </w:rPr>
              <w:instrText>am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Pages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HumanResources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CompanyData</w:instrText>
            </w:r>
            <w:r w:rsidRPr="00915C9F">
              <w:rPr>
                <w:rFonts w:ascii="GHEA Grapalat" w:hAnsi="GHEA Grapalat"/>
                <w:lang w:val="ru-RU"/>
              </w:rPr>
              <w:instrText>.</w:instrText>
            </w:r>
            <w:r w:rsidRPr="00915C9F">
              <w:rPr>
                <w:rFonts w:ascii="GHEA Grapalat" w:hAnsi="GHEA Grapalat"/>
              </w:rPr>
              <w:instrText>aspx</w:instrText>
            </w:r>
            <w:r w:rsidRPr="00915C9F">
              <w:rPr>
                <w:rFonts w:ascii="GHEA Grapalat" w:hAnsi="GHEA Grapalat"/>
                <w:lang w:val="ru-RU"/>
              </w:rPr>
              <w:instrText>?</w:instrText>
            </w:r>
            <w:r w:rsidRPr="00915C9F">
              <w:rPr>
                <w:rFonts w:ascii="GHEA Grapalat" w:hAnsi="GHEA Grapalat"/>
              </w:rPr>
              <w:instrText>StructureID</w:instrText>
            </w:r>
            <w:r w:rsidRPr="00915C9F">
              <w:rPr>
                <w:rFonts w:ascii="GHEA Grapalat" w:hAnsi="GHEA Grapalat"/>
                <w:lang w:val="ru-RU"/>
              </w:rPr>
              <w:instrText>=4096&amp;</w:instrText>
            </w:r>
            <w:r w:rsidRPr="00915C9F">
              <w:rPr>
                <w:rFonts w:ascii="GHEA Grapalat" w:hAnsi="GHEA Grapalat"/>
              </w:rPr>
              <w:instrText>Tab</w:instrText>
            </w:r>
            <w:r w:rsidRPr="00915C9F">
              <w:rPr>
                <w:rFonts w:ascii="GHEA Grapalat" w:hAnsi="GHEA Grapalat"/>
                <w:lang w:val="ru-RU"/>
              </w:rPr>
              <w:instrText>=0&amp;</w:instrText>
            </w:r>
            <w:r w:rsidRPr="00915C9F">
              <w:rPr>
                <w:rFonts w:ascii="GHEA Grapalat" w:hAnsi="GHEA Grapalat"/>
              </w:rPr>
              <w:instrText>isClose</w:instrText>
            </w:r>
            <w:r w:rsidRPr="00915C9F">
              <w:rPr>
                <w:rFonts w:ascii="GHEA Grapalat" w:hAnsi="GHEA Grapalat"/>
                <w:lang w:val="ru-RU"/>
              </w:rPr>
              <w:instrText>=</w:instrText>
            </w:r>
            <w:r w:rsidRPr="00915C9F">
              <w:rPr>
                <w:rFonts w:ascii="GHEA Grapalat" w:hAnsi="GHEA Grapalat"/>
              </w:rPr>
              <w:instrText>false</w:instrText>
            </w:r>
            <w:r w:rsidRPr="00915C9F">
              <w:rPr>
                <w:rFonts w:ascii="GHEA Grapalat" w:hAnsi="GHEA Grapalat"/>
                <w:lang w:val="ru-RU"/>
              </w:rPr>
              <w:instrText>" \</w:instrText>
            </w:r>
            <w:r w:rsidRPr="00915C9F">
              <w:rPr>
                <w:rFonts w:ascii="GHEA Grapalat" w:hAnsi="GHEA Grapalat"/>
              </w:rPr>
              <w:instrText>t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 "_</w:instrText>
            </w:r>
            <w:r w:rsidRPr="00915C9F">
              <w:rPr>
                <w:rFonts w:ascii="GHEA Grapalat" w:hAnsi="GHEA Grapalat"/>
              </w:rPr>
              <w:instrText>blank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" </w:instrText>
            </w:r>
            <w:r w:rsidRPr="00915C9F">
              <w:rPr>
                <w:rFonts w:ascii="GHEA Grapalat" w:hAnsi="GHEA Grapalat"/>
              </w:rPr>
              <w:fldChar w:fldCharType="separate"/>
            </w:r>
            <w:r w:rsidRPr="00915C9F">
              <w:rPr>
                <w:rStyle w:val="Hyperlink"/>
                <w:rFonts w:ascii="GHEA Grapalat" w:hAnsi="GHEA Grapalat"/>
                <w:lang w:val="hy-AM"/>
              </w:rPr>
              <w:t>«Հուղարկավորությունների կազմակերպման, գերեզմանատնների, հուշարձանների պահպանման և շահագործման  ՀՈԱԿ»</w:t>
            </w:r>
            <w:r w:rsidRPr="00915C9F">
              <w:rPr>
                <w:rFonts w:ascii="GHEA Grapalat" w:hAnsi="GHEA Grapalat"/>
              </w:rPr>
              <w:fldChar w:fldCharType="end"/>
            </w:r>
            <w:r w:rsidRPr="00915C9F">
              <w:rPr>
                <w:rFonts w:ascii="GHEA Grapalat" w:hAnsi="GHEA Grapalat"/>
                <w:lang w:val="hy-AM"/>
              </w:rPr>
              <w:t xml:space="preserve"> ՀՈԱԿ</w:t>
            </w:r>
          </w:p>
        </w:tc>
      </w:tr>
      <w:tr w:rsidR="00915C9F" w:rsidRPr="00915C9F" w:rsidTr="00B33DD6">
        <w:trPr>
          <w:trHeight w:val="54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Հրազդանի համայնքապետարանի «Կոմունալ  տնտեսություն, աղբահանություն և սանմաքրում» հիմնարկ</w:t>
            </w:r>
          </w:p>
        </w:tc>
      </w:tr>
      <w:tr w:rsidR="00915C9F" w:rsidRP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3.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«Հրազդանի Երվանդ Քոչարի անվան արվեստի դպրոց» ՀՈԱԿ</w:t>
            </w:r>
          </w:p>
        </w:tc>
      </w:tr>
      <w:tr w:rsidR="00915C9F" w:rsidRP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4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թիվ 4 նախադպրոցական ուսումնական հաստատություն» ՀՈԱԿ</w:t>
            </w:r>
          </w:p>
        </w:tc>
      </w:tr>
      <w:tr w:rsidR="00915C9F" w:rsidRP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5.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«Հրազդանի թիվ 9 նախադպրոցական ուսումնական հաստատություն» ՀՈԱԿ</w:t>
            </w:r>
          </w:p>
        </w:tc>
      </w:tr>
      <w:tr w:rsidR="00915C9F" w:rsidRP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 xml:space="preserve">     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6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«Հրազդանի թիվ 12 նախադպրոցական ուսումնական հաստատություն» ՀՈԱԿ</w:t>
            </w:r>
          </w:p>
        </w:tc>
      </w:tr>
      <w:tr w:rsid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17.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915C9F">
              <w:rPr>
                <w:rFonts w:ascii="GHEA Grapalat" w:hAnsi="GHEA Grapalat"/>
                <w:color w:val="000000" w:themeColor="text1"/>
              </w:rPr>
              <w:t>Հրազդանի</w:t>
            </w:r>
            <w:proofErr w:type="spellEnd"/>
            <w:r w:rsidRPr="00915C9F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915C9F">
              <w:rPr>
                <w:rFonts w:ascii="GHEA Grapalat" w:hAnsi="GHEA Grapalat"/>
                <w:color w:val="000000" w:themeColor="text1"/>
              </w:rPr>
              <w:t>համայնքապետար</w:t>
            </w:r>
            <w:proofErr w:type="spellEnd"/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անի գնումների գործընթաց</w:t>
            </w:r>
          </w:p>
        </w:tc>
      </w:tr>
      <w:tr w:rsidR="00915C9F" w:rsidRPr="00915C9F" w:rsidTr="00915C9F">
        <w:trPr>
          <w:trHeight w:val="369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18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Հրազդան համայնքի բյուջեի կատարման գործընթաց</w:t>
            </w:r>
          </w:p>
        </w:tc>
      </w:tr>
    </w:tbl>
    <w:p w:rsidR="001D45CC" w:rsidRPr="001E6287" w:rsidRDefault="001D45CC">
      <w:pPr>
        <w:rPr>
          <w:lang w:val="hy-AM"/>
        </w:rPr>
      </w:pPr>
    </w:p>
    <w:sectPr w:rsidR="001D45CC" w:rsidRPr="001E6287" w:rsidSect="009F0445">
      <w:pgSz w:w="12240" w:h="15840"/>
      <w:pgMar w:top="720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riam Transparent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890" w:hanging="360"/>
      </w:pPr>
    </w:lvl>
    <w:lvl w:ilvl="1" w:tplc="04090019">
      <w:start w:val="1"/>
      <w:numFmt w:val="lowerLetter"/>
      <w:lvlText w:val="%2."/>
      <w:lvlJc w:val="left"/>
      <w:pPr>
        <w:ind w:left="2367" w:hanging="360"/>
      </w:pPr>
    </w:lvl>
    <w:lvl w:ilvl="2" w:tplc="0409001B">
      <w:start w:val="1"/>
      <w:numFmt w:val="lowerRoman"/>
      <w:lvlText w:val="%3."/>
      <w:lvlJc w:val="right"/>
      <w:pPr>
        <w:ind w:left="3087" w:hanging="180"/>
      </w:pPr>
    </w:lvl>
    <w:lvl w:ilvl="3" w:tplc="0409000F">
      <w:start w:val="1"/>
      <w:numFmt w:val="decimal"/>
      <w:lvlText w:val="%4."/>
      <w:lvlJc w:val="left"/>
      <w:pPr>
        <w:ind w:left="3807" w:hanging="360"/>
      </w:pPr>
    </w:lvl>
    <w:lvl w:ilvl="4" w:tplc="04090019">
      <w:start w:val="1"/>
      <w:numFmt w:val="lowerLetter"/>
      <w:lvlText w:val="%5."/>
      <w:lvlJc w:val="left"/>
      <w:pPr>
        <w:ind w:left="4527" w:hanging="360"/>
      </w:pPr>
    </w:lvl>
    <w:lvl w:ilvl="5" w:tplc="0409001B">
      <w:start w:val="1"/>
      <w:numFmt w:val="lowerRoman"/>
      <w:lvlText w:val="%6."/>
      <w:lvlJc w:val="right"/>
      <w:pPr>
        <w:ind w:left="5247" w:hanging="180"/>
      </w:pPr>
    </w:lvl>
    <w:lvl w:ilvl="6" w:tplc="0409000F">
      <w:start w:val="1"/>
      <w:numFmt w:val="decimal"/>
      <w:lvlText w:val="%7."/>
      <w:lvlJc w:val="left"/>
      <w:pPr>
        <w:ind w:left="5967" w:hanging="360"/>
      </w:pPr>
    </w:lvl>
    <w:lvl w:ilvl="7" w:tplc="04090019">
      <w:start w:val="1"/>
      <w:numFmt w:val="lowerLetter"/>
      <w:lvlText w:val="%8."/>
      <w:lvlJc w:val="left"/>
      <w:pPr>
        <w:ind w:left="6687" w:hanging="360"/>
      </w:pPr>
    </w:lvl>
    <w:lvl w:ilvl="8" w:tplc="0409001B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27F6376C"/>
    <w:multiLevelType w:val="hybridMultilevel"/>
    <w:tmpl w:val="D2A816E2"/>
    <w:lvl w:ilvl="0" w:tplc="24F05D94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C31861"/>
    <w:multiLevelType w:val="hybridMultilevel"/>
    <w:tmpl w:val="87681D68"/>
    <w:lvl w:ilvl="0" w:tplc="719E5BEA">
      <w:start w:val="3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AF6DBC"/>
    <w:multiLevelType w:val="hybridMultilevel"/>
    <w:tmpl w:val="55669682"/>
    <w:lvl w:ilvl="0" w:tplc="D9FAFE0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ED1917"/>
    <w:multiLevelType w:val="hybridMultilevel"/>
    <w:tmpl w:val="64069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2F"/>
    <w:rsid w:val="000511BD"/>
    <w:rsid w:val="001A1474"/>
    <w:rsid w:val="001D45CC"/>
    <w:rsid w:val="001E6287"/>
    <w:rsid w:val="002925F0"/>
    <w:rsid w:val="007E3803"/>
    <w:rsid w:val="00915C9F"/>
    <w:rsid w:val="00952430"/>
    <w:rsid w:val="009F0445"/>
    <w:rsid w:val="00A71531"/>
    <w:rsid w:val="00AA1ACE"/>
    <w:rsid w:val="00D75FE8"/>
    <w:rsid w:val="00DB4A2F"/>
    <w:rsid w:val="00E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7E3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7E38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azdan.am/Pages/HumanResources/CompanyData.aspx?StructureID=4095&amp;Tab=0&amp;isClose=fals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13</cp:revision>
  <dcterms:created xsi:type="dcterms:W3CDTF">2023-04-19T17:52:00Z</dcterms:created>
  <dcterms:modified xsi:type="dcterms:W3CDTF">2024-10-15T13:35:00Z</dcterms:modified>
</cp:coreProperties>
</file>