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принтеров для нужд Министерства образования, науки, культуры и спорта РА в 2024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ՀՀԿԳՄՍՆԷԱՃԱՊՁԲ-24/84</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принтеров для нужд Министерства образования, науки, культуры и спорта РА в 2024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принтеров для нужд Министерства образования, науки, культуры и спорта РА в 2024 году</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принтеров для нужд Министерства образования, науки, культуры и спорта РА в 2024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ՀՀԿԳՄՍՆԷԱՃԱՊՁԲ-24/84*</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ՀՀԿԳՄՍՆԷԱՃԱՊՁԲ-24/84</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должны иметь как минимум следующие параметры: Модель Canon IMAGECLASS MF3010 от производителя Canon или эквивалентная модель EPSON m3170 от производителя EPSON, модель HP LaserJet M236SDN от производителя HP.
Черно-белый лазерный многофункциональный принтер, копир, сканер формата А4. Картридж лазерный и перезаряжаемый, скорость печати и копирования не менее 18 страниц в минуту, скорость печати первой страницы не менее 8 секунд, память не менее 64 МБ, качествоcканирования и копирования 600x400 dpi.Интерфейс и программное обеспечение. Тип интерфейса: Высокоскоростной USB 2.0. Совместимость с операционными системами: Windows 8 и выше, Ежемесячная мощность печати не менее 8000 страниц. В комплект входит стартовый картридж с возможностью печати не менее 700 страниц, работающий с картриджем. Кабель USB 2.0, шнур питания: вилка биполярная, переменное однофазное напряжение 220 В. Заводская сборка и упаковка. Гарантия: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 модель Color LaserJet Pro MFP M283fdn от производителя HP или модель EPSON L5290 C11CJ65407 от производителя Epson или модель Canon i-Sensys MF-752cdw от производителя Canon.
Многофункциональный цветной, лазерный принтер: принтер, сканер, копир: Тип печати: Черно-белая, цветная.Автоматическая двусторонняя печать.Скорость печати: 21 стр./мин (цветной А4), 21 стр./мин, (черно-белый А4).Максимальный формат бумаги: А4. Интерфейс: Ethernet (RJ45), Wi-Fi, USB, Совместимость с операционными системами: Windows 8 и выше. Разрешение копирования и сканирования: 1200x2400 (dpi). Скорость сканирования-копии 29 стр/мин, скорость печати 10 стр/мин Цвет печати: 4 цвета. Количество картриджей: 4. Заводская сборка и упаковка. Гарантия: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3 улица Заробян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3 улица Заробян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