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0418E" w14:textId="77777777" w:rsidR="001776C0" w:rsidRPr="005939DE" w:rsidRDefault="001776C0" w:rsidP="001776C0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939D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</w:t>
      </w:r>
    </w:p>
    <w:p w14:paraId="2A6C8C74" w14:textId="77777777" w:rsidR="001776C0" w:rsidRPr="005E1F72" w:rsidRDefault="001776C0" w:rsidP="001776C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14:paraId="6BF10BC6" w14:textId="77777777" w:rsidR="00C553F6" w:rsidRPr="00C553F6" w:rsidRDefault="00C553F6" w:rsidP="00C553F6">
      <w:pPr>
        <w:rPr>
          <w:lang w:val="hy-AM"/>
        </w:rPr>
      </w:pPr>
    </w:p>
    <w:p w14:paraId="13030992" w14:textId="77777777" w:rsidR="00C2301E" w:rsidRPr="00070C67" w:rsidRDefault="00C2301E" w:rsidP="00C2301E">
      <w:pPr>
        <w:numPr>
          <w:ilvl w:val="0"/>
          <w:numId w:val="43"/>
        </w:numPr>
        <w:tabs>
          <w:tab w:val="left" w:pos="181"/>
          <w:tab w:val="left" w:pos="252"/>
        </w:tabs>
        <w:ind w:left="72"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Շարժակազմի չափորոշիչ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– ներմուծվող ավտոբուսները պետք է համապատասխան են 2020 թվականի հունվարի 2-ից  Հայաստանի Հանրապետությունում գործող Մաքսային միության հանձնաժողովի 2011 թվականի դեկտեմբերի  9-ի թիվ 877 որոշմամբ ընդունված «Անվավոր տրանսպորտային միջոցների անվտանգության մասին» (ՄՄ ՏԿ 018/2011) Մաքսային միության տեխնիկական կանոնակարգով սահմանված պահանջներին`  համաձայն որի հավելվածի սահմանված են այն տրանսպորտային միջոցները, որոնց վրա տարածվում են սահմանված պահանջները, նախատեսված են արտանետումներին վերաբերող դրույթները (մասնավորապես արգելանքը՝ ըստ տարեթվերի և էկոլոգիական դասերի): Մատակարարը պետք է նախապես պատվիրատուին տրամադրի առաջարկվող ավտոբուսների սերական արտադրության մոդել մակնիշը, տենիկական բնութագրերը և վերը նշված 2011 թվականի դեկտեմբերի  9-ի թիվ 877 որոշմամբ պահանջվող ավտոբուսի հավաստագրերը առաջարկվող ավտոբուսների տենիկական բնութագրերի համապատասխանության ստուգման համար: Ավտոբուսները պետք է լինեն </w:t>
      </w:r>
      <w:r w:rsidRPr="00070C67">
        <w:rPr>
          <w:rFonts w:ascii="GHEA Grapalat" w:hAnsi="GHEA Grapalat"/>
          <w:color w:val="000000"/>
          <w:sz w:val="20"/>
          <w:szCs w:val="20"/>
          <w:lang w:val="hy-AM"/>
        </w:rPr>
        <w:t xml:space="preserve">2024 թվականից  ոչ  հին արտադրության, չշահագործված, վազքը ձեռքբերման պահին՝ ներգործարանային և փորձարկման համար թույլատրելի սահմաններում,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ինքնատեղափոխման դեպքում՝ վազքը ոչ ավելի, քան արտադրող երկրից ներկրման օպտիմալ երթուղով հաշվարկված միջին հեռավորության կամ ներկայացված փաստաթղթերով հիմնավորված վազքին համապատասխան</w:t>
      </w:r>
    </w:p>
    <w:p w14:paraId="7692E6A0" w14:textId="77777777" w:rsidR="00C2301E" w:rsidRPr="00070C67" w:rsidRDefault="00C2301E" w:rsidP="00C2301E">
      <w:pPr>
        <w:numPr>
          <w:ilvl w:val="0"/>
          <w:numId w:val="43"/>
        </w:numPr>
        <w:tabs>
          <w:tab w:val="left" w:pos="181"/>
          <w:tab w:val="left" w:pos="252"/>
        </w:tabs>
        <w:ind w:left="72"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/>
          <w:b/>
          <w:color w:val="000000"/>
          <w:sz w:val="20"/>
          <w:szCs w:val="20"/>
          <w:lang w:val="hy-AM"/>
        </w:rPr>
        <w:t>դասը</w:t>
      </w:r>
      <w:r w:rsidRPr="00070C67">
        <w:rPr>
          <w:rFonts w:ascii="GHEA Grapalat" w:hAnsi="GHEA Grapalat"/>
          <w:color w:val="000000"/>
          <w:sz w:val="20"/>
          <w:szCs w:val="20"/>
          <w:lang w:val="hy-AM"/>
        </w:rPr>
        <w:t>՝  միջին տեղատարողությամբ, եվրո 5 էկոլոգիական ստանդարտի չափանիշներով, 4x2 անվային բանաձևով, ետևի տանող կամրջակով, քաղաքային հարմարադասմամբ</w:t>
      </w:r>
    </w:p>
    <w:p w14:paraId="7CA677FD" w14:textId="573E28CF" w:rsidR="00C2301E" w:rsidRPr="00070C67" w:rsidRDefault="00C2301E" w:rsidP="00C2301E">
      <w:pPr>
        <w:numPr>
          <w:ilvl w:val="0"/>
          <w:numId w:val="43"/>
        </w:numPr>
        <w:tabs>
          <w:tab w:val="left" w:pos="181"/>
          <w:tab w:val="left" w:pos="252"/>
        </w:tabs>
        <w:ind w:left="72"/>
        <w:jc w:val="both"/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/>
          <w:b/>
          <w:color w:val="000000"/>
          <w:sz w:val="20"/>
          <w:szCs w:val="20"/>
          <w:lang w:val="hy-AM"/>
        </w:rPr>
        <w:t>տեղատարողությունը</w:t>
      </w:r>
      <w:r w:rsidRPr="00070C67">
        <w:rPr>
          <w:rFonts w:ascii="GHEA Grapalat" w:hAnsi="GHEA Grapalat"/>
          <w:color w:val="000000"/>
          <w:sz w:val="20"/>
          <w:szCs w:val="20"/>
          <w:lang w:val="hy-AM"/>
        </w:rPr>
        <w:t xml:space="preserve">՝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առնվազն 22+1 նստատեղերի առկայություն (ներառյալ վարորդի 1 նստատեղը և առանց հաշմանդամի սայլակի առկայության), առնվազն </w:t>
      </w:r>
      <w:r w:rsidR="008C453A"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20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 կանգնած ուղևորների</w:t>
      </w: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տեղափոխման հնարավորություն </w:t>
      </w:r>
    </w:p>
    <w:p w14:paraId="19562C75" w14:textId="77777777" w:rsidR="00C2301E" w:rsidRPr="00070C67" w:rsidRDefault="00C2301E" w:rsidP="00C2301E">
      <w:pPr>
        <w:numPr>
          <w:ilvl w:val="0"/>
          <w:numId w:val="42"/>
        </w:numPr>
        <w:tabs>
          <w:tab w:val="left" w:pos="181"/>
          <w:tab w:val="left" w:pos="252"/>
        </w:tabs>
        <w:ind w:left="72" w:hanging="39"/>
        <w:contextualSpacing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070C67">
        <w:rPr>
          <w:rFonts w:ascii="GHEA Grapalat" w:hAnsi="GHEA Grapalat"/>
          <w:b/>
          <w:color w:val="000000"/>
          <w:sz w:val="20"/>
          <w:szCs w:val="20"/>
          <w:lang w:val="hy-AM" w:eastAsia="ru-RU"/>
        </w:rPr>
        <w:t>թափքը</w:t>
      </w:r>
      <w:r w:rsidRPr="00070C67">
        <w:rPr>
          <w:rFonts w:ascii="GHEA Grapalat" w:hAnsi="GHEA Grapalat"/>
          <w:color w:val="000000"/>
          <w:sz w:val="20"/>
          <w:szCs w:val="20"/>
          <w:lang w:val="hy-AM" w:eastAsia="ru-RU"/>
        </w:rPr>
        <w:t>՝  կրող հատկանիշով՝ շրջանակային տիպի, վագոնային հարմարադասմամբ, ամբողջական մետաղյա` հակակոռոզիոն պաշտպանվածության հատկանիշով և էլեկտրոֆորեզային ներկման պատվածքով, պ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 w:eastAsia="ru-RU"/>
        </w:rPr>
        <w:t>ետք է լինի</w:t>
      </w:r>
      <w:r w:rsidRPr="00070C67">
        <w:rPr>
          <w:rFonts w:ascii="GHEA Grapalat" w:hAnsi="GHEA Grapalat"/>
          <w:color w:val="000000"/>
          <w:sz w:val="20"/>
          <w:szCs w:val="20"/>
          <w:lang w:val="hy-AM" w:eastAsia="ru-RU"/>
        </w:rPr>
        <w:t xml:space="preserve"> նստեցման ցածր տեղաբաշխմամբ մուտքով՝ առանց աստիճանային բարձրության, մուտքի բարձրությունը առավելագույնը պետք է լինի՝ </w:t>
      </w:r>
      <w:r w:rsidRPr="00070C67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340մմ.</w:t>
      </w:r>
      <w:r w:rsidRPr="00070C67">
        <w:rPr>
          <w:rFonts w:ascii="GHEA Grapalat" w:hAnsi="GHEA Grapalat"/>
          <w:color w:val="000000"/>
          <w:sz w:val="20"/>
          <w:szCs w:val="20"/>
          <w:lang w:val="hy-AM" w:eastAsia="ru-RU"/>
        </w:rPr>
        <w:t>, գույնը նախապես համաձայնեցվի  պատվիրատուի հետ՝ ըստ RAL կատալոգի:</w:t>
      </w:r>
    </w:p>
    <w:p w14:paraId="19F44E9C" w14:textId="77777777" w:rsidR="00C2301E" w:rsidRPr="00070C67" w:rsidRDefault="00C2301E" w:rsidP="00C2301E">
      <w:pPr>
        <w:numPr>
          <w:ilvl w:val="0"/>
          <w:numId w:val="42"/>
        </w:numPr>
        <w:tabs>
          <w:tab w:val="left" w:pos="181"/>
          <w:tab w:val="left" w:pos="252"/>
        </w:tabs>
        <w:ind w:left="72" w:hanging="39"/>
        <w:contextualSpacing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070C67">
        <w:rPr>
          <w:rFonts w:ascii="GHEA Grapalat" w:hAnsi="GHEA Grapalat"/>
          <w:b/>
          <w:color w:val="000000"/>
          <w:sz w:val="20"/>
          <w:szCs w:val="20"/>
          <w:lang w:val="hy-AM" w:eastAsia="ru-RU"/>
        </w:rPr>
        <w:t xml:space="preserve">ուղևորների նստեցման դռներ՝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ուղևորների նստեցման համար նախատեսված՝ վարորդի կողմից էլեկտրահաղորդակի միջոցով  հեռակառավարվող  երկու ամբողջությամբ ապակեպատ պնևմատիկ դռների առկայությամբ, որոնցից մեկը՝  երկփեղկանի, դեպի ներս բացվածքով, </w:t>
      </w:r>
      <w:r w:rsidRPr="00070C67">
        <w:rPr>
          <w:rFonts w:ascii="GHEA Grapalat" w:hAnsi="GHEA Grapalat"/>
          <w:color w:val="000000"/>
          <w:sz w:val="20"/>
          <w:szCs w:val="20"/>
          <w:lang w:val="hy-AM" w:eastAsia="ru-RU"/>
        </w:rPr>
        <w:t xml:space="preserve"> հաշմանդամության  սայլակի մուտքը ուղեսրահ  բավարարող լայնությամբ: Դռների բացման և փակման բոլոր ագրեգատները լինեն բարձր որակի և լինեն հստակ կարգաբերված (регулированный) և աշխատեն առանց խափանումների։</w:t>
      </w:r>
    </w:p>
    <w:p w14:paraId="4C7882CC" w14:textId="77777777" w:rsidR="00C2301E" w:rsidRPr="00070C67" w:rsidRDefault="00C2301E" w:rsidP="00C2301E">
      <w:pPr>
        <w:numPr>
          <w:ilvl w:val="0"/>
          <w:numId w:val="42"/>
        </w:numPr>
        <w:tabs>
          <w:tab w:val="left" w:pos="181"/>
          <w:tab w:val="left" w:pos="252"/>
        </w:tabs>
        <w:ind w:left="72" w:hanging="39"/>
        <w:contextualSpacing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070C67">
        <w:rPr>
          <w:rFonts w:ascii="GHEA Grapalat" w:hAnsi="GHEA Grapalat"/>
          <w:b/>
          <w:sz w:val="20"/>
          <w:szCs w:val="20"/>
          <w:lang w:val="hy-AM" w:eastAsia="ru-RU"/>
        </w:rPr>
        <w:t>առավելագույն</w:t>
      </w:r>
      <w:r w:rsidRPr="00070C67">
        <w:rPr>
          <w:rFonts w:ascii="GHEA Grapalat" w:hAnsi="GHEA Grapalat"/>
          <w:b/>
          <w:color w:val="000000"/>
          <w:sz w:val="20"/>
          <w:szCs w:val="20"/>
          <w:lang w:val="hy-AM" w:eastAsia="ru-RU"/>
        </w:rPr>
        <w:t xml:space="preserve"> արագությունը՝ </w:t>
      </w:r>
      <w:r w:rsidRPr="00070C67">
        <w:rPr>
          <w:rFonts w:ascii="GHEA Grapalat" w:hAnsi="GHEA Grapalat"/>
          <w:bCs/>
          <w:color w:val="000000"/>
          <w:sz w:val="20"/>
          <w:szCs w:val="20"/>
          <w:lang w:val="hy-AM" w:eastAsia="ru-RU"/>
        </w:rPr>
        <w:t>80 կմ/ժ</w:t>
      </w:r>
    </w:p>
    <w:p w14:paraId="463EBAEE" w14:textId="77777777" w:rsidR="00C2301E" w:rsidRPr="00070C67" w:rsidRDefault="00C2301E" w:rsidP="00C2301E">
      <w:pPr>
        <w:numPr>
          <w:ilvl w:val="0"/>
          <w:numId w:val="42"/>
        </w:numPr>
        <w:tabs>
          <w:tab w:val="left" w:pos="181"/>
          <w:tab w:val="left" w:pos="252"/>
        </w:tabs>
        <w:ind w:left="72" w:hanging="39"/>
        <w:contextualSpacing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070C67">
        <w:rPr>
          <w:rFonts w:ascii="GHEA Grapalat" w:hAnsi="GHEA Grapalat"/>
          <w:b/>
          <w:color w:val="000000"/>
          <w:sz w:val="20"/>
          <w:szCs w:val="20"/>
          <w:lang w:val="hy-AM" w:eastAsia="ru-RU"/>
        </w:rPr>
        <w:t xml:space="preserve">դիմապակի (հողմապակին) և պատուհաններ՝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կողային (այդ թվում` վարորդի կողքի) ապակիների վրա շարժական բացովի փեղկեր, դիմակապին եռաշերտ, երեք կտորից բաղկացած, ետևի ապակին՝ թրծված։ </w:t>
      </w:r>
    </w:p>
    <w:p w14:paraId="6F9608BC" w14:textId="77777777" w:rsidR="00C2301E" w:rsidRPr="00070C67" w:rsidRDefault="00C2301E" w:rsidP="00C2301E">
      <w:pPr>
        <w:numPr>
          <w:ilvl w:val="0"/>
          <w:numId w:val="42"/>
        </w:numPr>
        <w:tabs>
          <w:tab w:val="left" w:pos="181"/>
          <w:tab w:val="left" w:pos="252"/>
        </w:tabs>
        <w:ind w:left="72" w:hanging="39"/>
        <w:contextualSpacing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070C67">
        <w:rPr>
          <w:rFonts w:ascii="GHEA Grapalat" w:hAnsi="GHEA Grapalat"/>
          <w:b/>
          <w:color w:val="000000"/>
          <w:sz w:val="20"/>
          <w:szCs w:val="20"/>
          <w:lang w:val="hy-AM" w:eastAsia="ru-RU"/>
        </w:rPr>
        <w:t>hետևի տեսադաշտի հայելիներ՝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  հետին  տեսանելիության էլեկտրական տաքացվող հայելիների առկայություն: Հետին տեսանելիության հայելիների տեսադաշտը լինի լիարժեք, ապահովելով ավտոբուսի կողային և հետնամասի առավելագույն տեսանելիությունը։</w:t>
      </w:r>
    </w:p>
    <w:p w14:paraId="69DA110D" w14:textId="77777777" w:rsidR="00C2301E" w:rsidRPr="00070C67" w:rsidRDefault="00C2301E" w:rsidP="00C2301E">
      <w:pPr>
        <w:numPr>
          <w:ilvl w:val="0"/>
          <w:numId w:val="42"/>
        </w:numPr>
        <w:tabs>
          <w:tab w:val="left" w:pos="181"/>
          <w:tab w:val="left" w:pos="252"/>
        </w:tabs>
        <w:ind w:left="72" w:hanging="39"/>
        <w:contextualSpacing/>
        <w:jc w:val="both"/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070C67">
        <w:rPr>
          <w:rFonts w:ascii="GHEA Grapalat" w:hAnsi="GHEA Grapalat"/>
          <w:b/>
          <w:color w:val="000000"/>
          <w:sz w:val="20"/>
          <w:szCs w:val="20"/>
          <w:lang w:val="hy-AM" w:eastAsia="ru-RU"/>
        </w:rPr>
        <w:t xml:space="preserve">անվասայլակի թեքահարթակ՝ </w:t>
      </w:r>
      <w:r w:rsidRPr="00070C67">
        <w:rPr>
          <w:rFonts w:ascii="GHEA Grapalat" w:hAnsi="GHEA Grapalat"/>
          <w:bCs/>
          <w:color w:val="000000"/>
          <w:sz w:val="20"/>
          <w:szCs w:val="20"/>
          <w:lang w:val="hy-AM" w:eastAsia="ru-RU"/>
        </w:rPr>
        <w:t>անվասա</w:t>
      </w:r>
      <w:r w:rsidRPr="00070C67">
        <w:rPr>
          <w:rFonts w:ascii="GHEA Grapalat" w:hAnsi="GHEA Grapalat"/>
          <w:color w:val="000000"/>
          <w:sz w:val="20"/>
          <w:szCs w:val="20"/>
          <w:lang w:val="hy-AM" w:eastAsia="ru-RU"/>
        </w:rPr>
        <w:t xml:space="preserve">յլակի տեղավորման համար պետք է նախատեսված  լինի վարորդի միջամտությամբ կառավարվող, բացվող մեխանիկական մեկ թեքահարթակ, հաշվի առնելով գործող ստանդարտով սահմանված  չափերը: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 w:eastAsia="ru-RU"/>
        </w:rPr>
        <w:t>Թեքահարթակը պետք է տեղադրվի hետևի դռան մուտքում և ունենա սահուն գործողության մեջ դրվելու և անվտանգ շահագործման երաշխիք, մինչև 300 կգ բեռնվածքով կրողունակություն</w:t>
      </w:r>
    </w:p>
    <w:p w14:paraId="6DCD0A31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>ուղևորասրահը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՝ նստարանները կայուն և կոշտ ամրացմամբ, շարժման սահմանափակ հնարավորություններ ունեցող ուղևորների համար նստատեղերի նախատեսմամբ և ցուցանակներով կահավորմամբ, հաշմանդամություն ունեցող անձանց  նստատեղերի և </w:t>
      </w:r>
      <w:r w:rsidRPr="00070C67">
        <w:rPr>
          <w:rFonts w:ascii="GHEA Grapalat" w:hAnsi="GHEA Grapalat"/>
          <w:color w:val="000000"/>
          <w:sz w:val="20"/>
          <w:szCs w:val="20"/>
          <w:lang w:val="hy-AM"/>
        </w:rPr>
        <w:t xml:space="preserve">հաշմանդամության  սայլակի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հարևանությամբ կանգառի ազդանշանման կոճակի, հարմարեցված բռնակների </w:t>
      </w:r>
      <w:r w:rsidRPr="00070C67">
        <w:rPr>
          <w:rFonts w:ascii="GHEA Grapalat" w:hAnsi="GHEA Grapalat"/>
          <w:color w:val="000000"/>
          <w:sz w:val="20"/>
          <w:szCs w:val="20"/>
          <w:lang w:val="hy-AM"/>
        </w:rPr>
        <w:t>(նաև կանգնած ուղևորների համար)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, դեղատուփի և առնվազն երկու կրակմարիչների  առկայություն՝ նվազագույն 4 կգ. տարողությամբ, առնվազն մեկ լյուկ՝ օդափոխությամբ, գազի արտահոսքի ազդարարման համակարգ,  ուղևորասրահի (այդ թվում՝  նստարանների) պաստառապատումը՝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lastRenderedPageBreak/>
        <w:t>լվացվող նյութերից, վարորդի նստատեղը՝ կարգավորվող տեսակի, վարորդի և ուղևորասրահի միջև միջնապատի, վարորդի խցիկում՝ ուղևորասրահի դիտարկման հայելու, 12  վոլտ լարման երկու վարդակների առկայություն պատվիրատուի կողմից նշված տեղերում։</w:t>
      </w:r>
    </w:p>
    <w:p w14:paraId="6E0CFE46" w14:textId="18BA9C0C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ջեռուցում և հովացում՝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ուղևորասրահում ջեռուցման, հովացման, օդափոխման և օդորակման համակարգի առկայություն, նշված համակարգերը պետք է նախատեսված լինեն </w:t>
      </w:r>
      <w:r w:rsidR="004A36C7"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-30 - +45 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աստիճան ջերմաստիճանային պայմանների համար՝ նվազագույնը 23000Kcal/h: Վարորդի խցիկում պետք է լինի առանձին ջեռուցման համակարգ</w:t>
      </w:r>
    </w:p>
    <w:p w14:paraId="0383A2AB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ուղեսրահի հատակը՝ </w:t>
      </w:r>
      <w:r w:rsidRPr="00070C67">
        <w:rPr>
          <w:rFonts w:ascii="GHEA Grapalat" w:hAnsi="GHEA Grapalat" w:cs="Calibri"/>
          <w:iCs/>
          <w:color w:val="000000"/>
          <w:sz w:val="20"/>
          <w:szCs w:val="20"/>
          <w:lang w:val="hy-AM"/>
        </w:rPr>
        <w:t>պետք է պատրաստված լինի կվարցային ավազից, ամուր, ջրակայուն, դիմանա եղանակային բոլոր պայմաններին, լինի հեշտ մաքրվող</w:t>
      </w:r>
    </w:p>
    <w:p w14:paraId="6C042880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Cs/>
          <w:iCs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>շարժիչը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՝ սեղմված բնական գազով (մեթանով) աշխատող,  առնվազն Եվրո 5 էկոլոգիական նորմին համապատասխանող, հզորությունը ոչ պակաս՝ 200 ձ.ուժ (143 կՎտ)՝ ավտոբուսի ետնամասում տեղակայված, վառելիքի բաքերը նվազագույնը CNG type 2, տանիքի վրա տեղաբաշխմամբ, տարողությունը՝ 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առնվազն 720 լիտր, հովացման համակարգը` հեղուկի միջոցով հովացմամբ, մեկ ամբողջական լիցքավորմամբ ավտոբուսը պետք է շահագործվի առնվազն 320կմ։ Շարժիչի սպասարկման դիտահորերը և գազային համակարգի դիտահորերը լինեն մեծ և սպասարկման համար մատչելի։</w:t>
      </w:r>
    </w:p>
    <w:p w14:paraId="7692A10C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/>
          <w:bCs/>
          <w:iCs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>փոխանցման տուփը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՝ Ամբողջությամբ ավտոմատ, Allsion կամ համարժեք ZF, ինտեգրված ռետարդեր</w:t>
      </w:r>
    </w:p>
    <w:p w14:paraId="72392E96" w14:textId="77777777" w:rsidR="00C2301E" w:rsidRPr="00070C67" w:rsidRDefault="00C2301E" w:rsidP="00C2301E">
      <w:pPr>
        <w:autoSpaceDE w:val="0"/>
        <w:autoSpaceDN w:val="0"/>
        <w:adjustRightInd w:val="0"/>
        <w:rPr>
          <w:rFonts w:ascii="GHEA Grapalat" w:hAnsi="GHEA Grapalat" w:cs="Calibri"/>
          <w:bCs/>
          <w:iCs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>կախոցի համակարգը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՝ առջևի և ետևի կամրջակների վրա՝  պնևմատիկ տեսակի 2/4, անկախ առջևի կասեցում, պնևմատիկ շոկ կլանիչներով և ցածր մուտք կամրջակ,  երկկողմանի գործողությամբ 2/4 մեղմիչների առկայությամբ, Knorr համակարգի մեխանիկական վերելակային համակարգ կամ BOSH</w:t>
      </w:r>
    </w:p>
    <w:p w14:paraId="16BD199F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Cs/>
          <w:iCs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>արգելակային համակարգը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՝ Երկողմանի պնեվմատիկ համակարգ WABCO կամ համարժեք BOSH, ABS, WABCO կամ համարժեք BOSH, ASR ձեռքի կանգնեցման արգելակ-զսպանակային համակարգ էներգոմարտկոցով, կամ համարժեքը բոլոր անիվներում սկավառակային արգելակման համակարգ:  Արգելակային համակարգը պաշտպանված լինի կեղտի և այլ պարագաների ներթափանցումից։ Օդի հավաքման տարաները հագեցված լինեն ջրի բացթողման ավտոմատ փականներով։ Տեղադրել օդի չորացուցիչ՝ WABCO կամ BOSH։ Բարձրությունը կարգավորող փականները </w:t>
      </w:r>
      <w:r w:rsidRPr="00070C67">
        <w:rPr>
          <w:rFonts w:ascii="GHEA Grapalat" w:hAnsi="GHEA Grapalat" w:cs="Calibri"/>
          <w:bCs/>
          <w:iCs/>
          <w:sz w:val="20"/>
          <w:szCs w:val="20"/>
        </w:rPr>
        <w:t>պաշտպանված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 լին</w:t>
      </w:r>
      <w:r w:rsidRPr="00070C67">
        <w:rPr>
          <w:rFonts w:ascii="GHEA Grapalat" w:hAnsi="GHEA Grapalat" w:cs="Calibri"/>
          <w:bCs/>
          <w:iCs/>
          <w:sz w:val="20"/>
          <w:szCs w:val="20"/>
        </w:rPr>
        <w:t>են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 ձ</w:t>
      </w:r>
      <w:r w:rsidRPr="00070C67">
        <w:rPr>
          <w:rFonts w:ascii="GHEA Grapalat" w:hAnsi="GHEA Grapalat" w:cs="Calibri"/>
          <w:bCs/>
          <w:iCs/>
          <w:sz w:val="20"/>
          <w:szCs w:val="20"/>
        </w:rPr>
        <w:t>յու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նից և փոշուց։</w:t>
      </w:r>
    </w:p>
    <w:p w14:paraId="6F8C963E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Cs/>
          <w:iCs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>անվադողերը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՝ օդաճնշումային, անխուց, hետևի անիվները՝ զույգ (երկշարք), չափսերը առնվազն՝ 255/70R22.5</w:t>
      </w:r>
    </w:p>
    <w:p w14:paraId="7F6CAC2D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 w:cs="Calibri"/>
          <w:bCs/>
          <w:iCs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>ղեկային կառավարման համակարգը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՝ ձախակողմյան տեղաբաշխմամբ ղեկով, հիդրավլիկական  ուժեղարարով, կարգավորվող ղեկային սյունակով</w:t>
      </w:r>
    </w:p>
    <w:p w14:paraId="07162AAB" w14:textId="0B73FDEE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>կառուցվածքային և տեխնիկական այլ չափորոշիչներ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՝ ցածր մուտքի հարմարադասում, եզրաչափային չափերը՝ երկարությունը </w:t>
      </w:r>
      <w:r w:rsidR="00070C67"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7000 </w:t>
      </w:r>
      <w:r w:rsidR="00070C67">
        <w:rPr>
          <w:rFonts w:ascii="GHEA Grapalat" w:hAnsi="GHEA Grapalat" w:cs="Calibri"/>
          <w:bCs/>
          <w:iCs/>
          <w:sz w:val="20"/>
          <w:szCs w:val="20"/>
          <w:lang w:val="hy-AM"/>
        </w:rPr>
        <w:t>մմ</w:t>
      </w:r>
      <w:r w:rsidR="00070C67"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 - 8700 </w:t>
      </w:r>
      <w:r w:rsidR="00070C67">
        <w:rPr>
          <w:rFonts w:ascii="GHEA Grapalat" w:hAnsi="GHEA Grapalat" w:cs="Calibri"/>
          <w:bCs/>
          <w:iCs/>
          <w:sz w:val="20"/>
          <w:szCs w:val="20"/>
          <w:lang w:val="hy-AM"/>
        </w:rPr>
        <w:t>մմ</w:t>
      </w:r>
      <w:r w:rsidR="00070C67"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 </w:t>
      </w:r>
      <w:r w:rsidRPr="00070C67">
        <w:rPr>
          <w:rFonts w:ascii="Cambria Math" w:hAnsi="Cambria Math" w:cs="Cambria Math"/>
          <w:bCs/>
          <w:iCs/>
          <w:sz w:val="20"/>
          <w:szCs w:val="20"/>
          <w:lang w:val="hy-AM"/>
        </w:rPr>
        <w:t>․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, լայնությունը՝ ոչ ավելի 2600 մմ-ից, ավտոբուսի բարձրությունը՝ առավելագույնը 3600 մմ-ից, ուղևորասրահի բարձրությունը` ոչ պակաս 1950 մմ-ից, ավտոբուսի լցավորված և նախատեսված պարագաներով կահավորված զանգվածը ոչ ավելի 9900 կգ-ից, թույլատրելի առավելագույն զանգվածը (առավելագույն բեռնվածությունը)` 14150 կգ-ից, </w:t>
      </w:r>
    </w:p>
    <w:p w14:paraId="786FA062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 xml:space="preserve">Այլ՝ </w:t>
      </w:r>
      <w:r w:rsidRPr="00070C67">
        <w:rPr>
          <w:rFonts w:ascii="GHEA Grapalat" w:hAnsi="GHEA Grapalat" w:cs="Calibri"/>
          <w:iCs/>
          <w:sz w:val="20"/>
          <w:szCs w:val="20"/>
          <w:lang w:val="hy-AM"/>
        </w:rPr>
        <w:t xml:space="preserve">մատակարարը պետք է ապահովի 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քարտային տոմսավորման (վալիդատորի, առնվազն 2) համար լարի և ուղեփակոցի, GPS սարքերի (առնվազն 1), բորտային սարքի (առնվազն 1) միացման լարի հնարավորություն, (Պատվիրատուն կտրամադրի մալուխների և միացուցիչների անցկացման  պահանջվող տեխնիակական նկարագրերը և գծագրերը), ուղեսրահում ՝ ուղևորահոսքի հաշվարքի սարքեր (յուրաքանչյուր դռան մուտքի վերևի հատվածում), որոնք պետք է ինտեգրված լինի ընդհանուր բորտ համակարգին, ուղևորների տեղեկացման էլեկտրոնային ցուցատախտակի, երթուղու  առնվազն թվով երեք ցուցանակների (այդ թվում` մեկը ուղեսրահի), ուղևորասրահի տեսահսկման 3, յուրաքանչյուր դռան տեսահսկման մեկական և ճանապարհի տեսահսկման տեսախցիկ, ետընթացքի դիտման տեսախցիկ, տեսախցիկների տեսանյութի պահպանման սարք՝ ներառված կոշտ սկավառակով և RJ45 ինտերֆեյսով (պորտ)` հեռահար միացման համար, դրանց աշխատանքի հսկման  համար վարորդի խցիկում  մոնիտորի, կանգառների ավտոմատ հայտարարման սարքերի առկայություն, ավտոբուսի ներքին սարքերի հեռահար կառավարման սարք, որը պետք է միացված լինի ներքին սարքերին (RJ45 ինտերֆեյս) և հնարվորություն ունենա հեռահար միանալու և կառավարելու 3G և 4G ցանցի միջոցով, բարձրախոս, ավտոմատ հրդեհաշիջման համակարգ շարժիչի հատվածում, ավտոբուսի գործիքների արկղ՝ իրենց գործիքներով (հստակ մատնանշել գործիքների տեսակները և քանակը): Ավտոբուսը պետք է ունենա մատչելի ինտերֆեյս ավտոբուսի CAN պորտին միանալու և ավտոբուսի վերաբերյալ տեղեկատվության ստանալու համար։ Ուղևորների տեղեկացման համար տեղեկատվական ցուցատախտակները պետք է գրառվեն նաև հայերեն, ռուսերեն և անգլերեն բովանդակությամբ, որը պետք է ունենա նշված մատչելի ինտերֆեյս հաղորդագրությունների փոփոխման համար։</w:t>
      </w:r>
    </w:p>
    <w:p w14:paraId="6D68CDA1" w14:textId="28571F9F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>USB լիցքավորման վարդակ՝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 սրահում պետք է տեղադրված լինեն առնվազն </w:t>
      </w:r>
      <w:r w:rsidR="00F64A24"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2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 հատ USB հեռախոսի լիցքավորման վարդակ</w:t>
      </w:r>
      <w:r w:rsidR="00F64A24"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ներ, որից մեկը վարորդի համար </w:t>
      </w:r>
    </w:p>
    <w:p w14:paraId="68A58768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 xml:space="preserve">Լուսավորություն՝ 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>լուսաազդանշանային սարքերը (այդ թվում՝ ուղեորասրահի լուսավորությունը) ՝ լուսադիոդային տիպի լամպերով, վարորդի խցիկում, ավտոբուսի դիմացի մասում ինտեգրված լուսատուներ, դռների բացման և փակման կոճակի լուսային ազդանշան, ետնամասի ինտեգրված լուսատուներ բարձր տեղակայման մակարդակով, լուսադիոդային տեսակի և բարձր որակի։</w:t>
      </w:r>
    </w:p>
    <w:p w14:paraId="31488C9B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lastRenderedPageBreak/>
        <w:t>Էլեկտրական համակարգ՝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 մարտկոցը՝ 2 հատ, ընդհանուր՝ 24 վոլտ:</w:t>
      </w:r>
    </w:p>
    <w:p w14:paraId="4746D865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Դիմապակու խոզանակներ՝ </w:t>
      </w:r>
      <w:r w:rsidRPr="00070C67">
        <w:rPr>
          <w:rFonts w:ascii="GHEA Grapalat" w:hAnsi="GHEA Grapalat" w:cs="Calibri"/>
          <w:iCs/>
          <w:color w:val="000000"/>
          <w:sz w:val="20"/>
          <w:szCs w:val="20"/>
          <w:lang w:val="hy-AM"/>
        </w:rPr>
        <w:t xml:space="preserve">պետք է կահավորված լինի դիմապակու էլեկտրական խոզանակներով՝ մի քանի կարգավորման ռեժիմներով և դիմապակու մաքրման հեղուկի բաքով: </w:t>
      </w:r>
    </w:p>
    <w:p w14:paraId="03E87C7A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Անցանելիություն՝ </w:t>
      </w:r>
      <w:r w:rsidRPr="00070C67">
        <w:rPr>
          <w:rFonts w:ascii="GHEA Grapalat" w:hAnsi="GHEA Grapalat" w:cs="Calibri"/>
          <w:iCs/>
          <w:color w:val="000000"/>
          <w:sz w:val="20"/>
          <w:szCs w:val="20"/>
          <w:lang w:val="hy-AM"/>
        </w:rPr>
        <w:t>Ավտոբուսը պետք է ունենա առնվազն 18% թեքության ճանապարհների անցանելիություն</w:t>
      </w:r>
    </w:p>
    <w:p w14:paraId="08FC0960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Լուսածերպ՝ </w:t>
      </w:r>
      <w:r w:rsidRPr="00070C67">
        <w:rPr>
          <w:rFonts w:ascii="GHEA Grapalat" w:hAnsi="GHEA Grapalat" w:cs="Calibri"/>
          <w:iCs/>
          <w:color w:val="000000"/>
          <w:sz w:val="20"/>
          <w:szCs w:val="20"/>
          <w:lang w:val="hy-AM"/>
        </w:rPr>
        <w:t>նվազագույնը</w:t>
      </w: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</w:rPr>
        <w:t xml:space="preserve">125 </w:t>
      </w: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>մմ.</w:t>
      </w:r>
    </w:p>
    <w:p w14:paraId="48004C11" w14:textId="502BEED2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Շահագործման պայմաններ՝ </w:t>
      </w:r>
      <w:r w:rsidRPr="00070C67">
        <w:rPr>
          <w:rFonts w:ascii="GHEA Grapalat" w:hAnsi="GHEA Grapalat" w:cs="Calibri"/>
          <w:iCs/>
          <w:color w:val="000000"/>
          <w:sz w:val="20"/>
          <w:szCs w:val="20"/>
          <w:lang w:val="hy-AM"/>
        </w:rPr>
        <w:t xml:space="preserve">մատակարարվող ավտոբուսները շահագործվելու են </w:t>
      </w:r>
      <w:bookmarkStart w:id="0" w:name="_Hlk179881078"/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-</w:t>
      </w:r>
      <w:r w:rsidR="00C527F0"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30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 - +</w:t>
      </w:r>
      <w:r w:rsidR="004A36C7"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45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bookmarkEnd w:id="0"/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աստիճան եղանակային պայմաններին, կայանումն իրականացվելու է բաց տարածքում, առանց ծածկի, շահագործումը իրականացվելու է միջին և վատ ճանապարհներով</w:t>
      </w:r>
    </w:p>
    <w:p w14:paraId="4E72F7C0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Ուսուցում՝ </w:t>
      </w:r>
      <w:r w:rsidRPr="00070C67">
        <w:rPr>
          <w:rFonts w:ascii="GHEA Grapalat" w:hAnsi="GHEA Grapalat" w:cs="Calibri"/>
          <w:iCs/>
          <w:color w:val="000000"/>
          <w:sz w:val="20"/>
          <w:szCs w:val="20"/>
          <w:lang w:val="hy-AM"/>
        </w:rPr>
        <w:t>Մատակարարը պետք է իրականացնի Պատվիրատուի աշխատակիցների կամ լիազոր ներկայացուցիչների ուսուցում ավտոբուսների շահագործման, սպասարկման, վերանորոգման հետ կապված հարցերում: Ուսուցումը պետք է իրականացվի Հայաստանի Հանրապետության տարածում տեխնիկական անձնակազմի և վարորդների համար՝ ինչպես տեխնիկական կանոնակարգերով, բնութագրերով, այնպես էլ տեսաձայնագրման միջոցով։</w:t>
      </w:r>
    </w:p>
    <w:p w14:paraId="2B9756D8" w14:textId="7E131C7B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iCs/>
          <w:color w:val="000000"/>
          <w:sz w:val="20"/>
          <w:szCs w:val="20"/>
          <w:lang w:val="hy-AM"/>
        </w:rPr>
        <w:t>Ավտոբուսի երաշխիքային սպասարկման ժամկետը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՝ առնվազն 2 տարի կամ 150 000 կմ վազքի համար, որը պետք է իրականացվի ՀՀ </w:t>
      </w:r>
      <w:r w:rsidR="001D3ADB"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տարածք</w:t>
      </w:r>
      <w:r w:rsidR="004A36C7"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>ում</w:t>
      </w:r>
      <w:r w:rsidRPr="00070C67">
        <w:rPr>
          <w:rFonts w:ascii="GHEA Grapalat" w:hAnsi="GHEA Grapalat" w:cs="Calibri"/>
          <w:bCs/>
          <w:iCs/>
          <w:color w:val="000000"/>
          <w:sz w:val="20"/>
          <w:szCs w:val="20"/>
          <w:lang w:val="hy-AM"/>
        </w:rPr>
        <w:t xml:space="preserve">: Երաշխիքային սպասարկումը պետք է իրականացվի մատակարարի լիազոր ներկայացուցչի կամ դուստր ընկերության կողմից: Ներկայացնել երաշխիքային սպասարկման նպատակով յուրաքանչյուր ավտոբուսի համար նախատեսված պահեստամասերի ցանկ՝ </w:t>
      </w:r>
      <w:r w:rsidRPr="00070C67">
        <w:rPr>
          <w:rFonts w:ascii="GHEA Grapalat" w:hAnsi="GHEA Grapalat" w:cs="Calibri"/>
          <w:bCs/>
          <w:iCs/>
          <w:sz w:val="20"/>
          <w:szCs w:val="20"/>
          <w:lang w:val="hy-AM"/>
        </w:rPr>
        <w:t xml:space="preserve">մինչև ավտոբուսի ներկրումը։ </w:t>
      </w:r>
    </w:p>
    <w:p w14:paraId="67EB6AFE" w14:textId="15369350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bCs/>
          <w:iCs/>
          <w:sz w:val="20"/>
          <w:szCs w:val="20"/>
          <w:lang w:val="hy-AM"/>
        </w:rPr>
        <w:t xml:space="preserve">Ավտոբուսի գին՝ </w:t>
      </w:r>
      <w:r w:rsidRPr="00070C67">
        <w:rPr>
          <w:rFonts w:ascii="GHEA Grapalat" w:hAnsi="GHEA Grapalat" w:cs="Calibri"/>
          <w:b/>
          <w:iCs/>
          <w:sz w:val="20"/>
          <w:szCs w:val="20"/>
          <w:lang w:val="hy-AM"/>
        </w:rPr>
        <w:t xml:space="preserve">մասնակիցը պետք է առաջարկի ավտոբուսի գին DAP </w:t>
      </w:r>
      <w:r w:rsidR="001D3ADB" w:rsidRPr="00070C67">
        <w:rPr>
          <w:rFonts w:ascii="GHEA Grapalat" w:hAnsi="GHEA Grapalat" w:cs="Calibri"/>
          <w:b/>
          <w:iCs/>
          <w:sz w:val="20"/>
          <w:szCs w:val="20"/>
          <w:lang w:val="hy-AM"/>
        </w:rPr>
        <w:t>Ալավերդի</w:t>
      </w:r>
      <w:r w:rsidRPr="00070C67">
        <w:rPr>
          <w:rFonts w:ascii="GHEA Grapalat" w:hAnsi="GHEA Grapalat" w:cs="Calibri"/>
          <w:b/>
          <w:iCs/>
          <w:sz w:val="20"/>
          <w:szCs w:val="20"/>
          <w:lang w:val="hy-AM"/>
        </w:rPr>
        <w:t xml:space="preserve">, ՀՀ (INCOTERMS 2020) </w:t>
      </w:r>
    </w:p>
    <w:p w14:paraId="4D7479E6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70C67">
        <w:rPr>
          <w:rFonts w:ascii="GHEA Grapalat" w:hAnsi="GHEA Grapalat" w:cs="Calibri"/>
          <w:b/>
          <w:iCs/>
          <w:sz w:val="20"/>
          <w:szCs w:val="20"/>
          <w:lang w:val="hy-AM"/>
        </w:rPr>
        <w:t>Ռուսերեն լեզվով սույն տեխնիկական բնութագրի կետերի տարաբնույթ մեկնաբանության դեպքում հիմք է ընդունվում նույն կետերի հայերեն տարբերակը:</w:t>
      </w:r>
    </w:p>
    <w:p w14:paraId="08754E6A" w14:textId="77777777" w:rsidR="00C2301E" w:rsidRPr="00070C67" w:rsidRDefault="00C2301E" w:rsidP="00C2301E">
      <w:pPr>
        <w:jc w:val="both"/>
        <w:rPr>
          <w:rFonts w:ascii="GHEA Grapalat" w:hAnsi="GHEA Grapalat"/>
          <w:b/>
          <w:sz w:val="20"/>
          <w:lang w:val="hy-AM"/>
        </w:rPr>
      </w:pPr>
    </w:p>
    <w:p w14:paraId="174DF487" w14:textId="6DA53270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rPr>
          <w:rFonts w:ascii="GHEA Grapalat" w:hAnsi="GHEA Grapalat" w:cs="Calibri"/>
          <w:b/>
          <w:iCs/>
          <w:sz w:val="18"/>
          <w:szCs w:val="18"/>
          <w:lang w:val="hy-AM"/>
        </w:rPr>
      </w:pPr>
      <w:r w:rsidRPr="00070C67">
        <w:rPr>
          <w:rFonts w:ascii="GHEA Grapalat" w:hAnsi="GHEA Grapalat" w:cs="Calibri"/>
          <w:b/>
          <w:iCs/>
          <w:sz w:val="18"/>
          <w:szCs w:val="18"/>
          <w:lang w:val="hy-AM"/>
        </w:rPr>
        <w:t xml:space="preserve">Վաճառողի կողմից կատարվելիք բոլոր վճարները (ծախսերը), այդ թվում` հարկերը, տուրքերը, փոխադրման, ապահովագրման ծախսերը, պարգևավճարները և ակնկալվող շահույթը պետք է ներառված լինեն առաջարկվող  գնի մեջ` ըստ DAP </w:t>
      </w:r>
      <w:r w:rsidR="001D3ADB" w:rsidRPr="00070C67">
        <w:rPr>
          <w:rFonts w:ascii="GHEA Grapalat" w:hAnsi="GHEA Grapalat" w:cs="Calibri"/>
          <w:b/>
          <w:iCs/>
          <w:sz w:val="18"/>
          <w:szCs w:val="18"/>
          <w:lang w:val="hy-AM"/>
        </w:rPr>
        <w:t>Ալավերդ</w:t>
      </w:r>
      <w:r w:rsidRPr="00070C67">
        <w:rPr>
          <w:rFonts w:ascii="GHEA Grapalat" w:hAnsi="GHEA Grapalat" w:cs="Calibri"/>
          <w:b/>
          <w:iCs/>
          <w:sz w:val="18"/>
          <w:szCs w:val="18"/>
          <w:lang w:val="hy-AM"/>
        </w:rPr>
        <w:t xml:space="preserve">, ՀՀ (INCOTERMS 2020)  պայմանի </w:t>
      </w:r>
    </w:p>
    <w:p w14:paraId="24AAA57A" w14:textId="77777777" w:rsidR="00C2301E" w:rsidRPr="00070C67" w:rsidRDefault="00C2301E" w:rsidP="00C2301E">
      <w:pPr>
        <w:numPr>
          <w:ilvl w:val="0"/>
          <w:numId w:val="43"/>
        </w:numPr>
        <w:tabs>
          <w:tab w:val="left" w:pos="252"/>
        </w:tabs>
        <w:ind w:left="72"/>
        <w:rPr>
          <w:rFonts w:ascii="GHEA Grapalat" w:hAnsi="GHEA Grapalat" w:cs="Calibri"/>
          <w:b/>
          <w:iCs/>
          <w:sz w:val="18"/>
          <w:szCs w:val="18"/>
          <w:lang w:val="hy-AM"/>
        </w:rPr>
      </w:pPr>
      <w:r w:rsidRPr="00070C67">
        <w:rPr>
          <w:rFonts w:ascii="GHEA Grapalat" w:hAnsi="GHEA Grapalat" w:cs="Calibri"/>
          <w:b/>
          <w:iCs/>
          <w:sz w:val="18"/>
          <w:szCs w:val="18"/>
          <w:lang w:val="hy-AM"/>
        </w:rPr>
        <w:t>Գնումն իրականացվում է ՀՀ տարածքում</w:t>
      </w:r>
    </w:p>
    <w:p w14:paraId="01C23C99" w14:textId="7EC8952A" w:rsidR="00D97BA3" w:rsidRPr="00070C67" w:rsidRDefault="00C2301E" w:rsidP="00BC6865">
      <w:pPr>
        <w:numPr>
          <w:ilvl w:val="0"/>
          <w:numId w:val="43"/>
        </w:numPr>
        <w:tabs>
          <w:tab w:val="left" w:pos="252"/>
        </w:tabs>
        <w:ind w:left="72"/>
        <w:jc w:val="both"/>
        <w:rPr>
          <w:rFonts w:ascii="GHEA Grapalat" w:hAnsi="GHEA Grapalat"/>
          <w:sz w:val="20"/>
          <w:lang w:val="hy-AM"/>
        </w:rPr>
      </w:pPr>
      <w:r w:rsidRPr="00070C67">
        <w:rPr>
          <w:rFonts w:ascii="GHEA Grapalat" w:hAnsi="GHEA Grapalat" w:cs="Calibri"/>
          <w:b/>
          <w:iCs/>
          <w:sz w:val="18"/>
          <w:szCs w:val="18"/>
          <w:lang w:val="hy-AM"/>
        </w:rPr>
        <w:t xml:space="preserve">Ձեռք բերվող ապրանքը պետք է համապատասխանի ՀՀ օրենսդրությանը </w:t>
      </w:r>
    </w:p>
    <w:sectPr w:rsidR="00D97BA3" w:rsidRPr="00070C67" w:rsidSect="00BC6865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107AA" w14:textId="77777777" w:rsidR="00FE17B4" w:rsidRDefault="00FE17B4" w:rsidP="001776C0">
      <w:r>
        <w:separator/>
      </w:r>
    </w:p>
  </w:endnote>
  <w:endnote w:type="continuationSeparator" w:id="0">
    <w:p w14:paraId="27F838C4" w14:textId="77777777" w:rsidR="00FE17B4" w:rsidRDefault="00FE17B4" w:rsidP="0017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069CA" w14:textId="77777777" w:rsidR="00FE17B4" w:rsidRDefault="00FE17B4" w:rsidP="001776C0">
      <w:r>
        <w:separator/>
      </w:r>
    </w:p>
  </w:footnote>
  <w:footnote w:type="continuationSeparator" w:id="0">
    <w:p w14:paraId="70FB808C" w14:textId="77777777" w:rsidR="00FE17B4" w:rsidRDefault="00FE17B4" w:rsidP="00177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8FCDF8C"/>
    <w:lvl w:ilvl="0">
      <w:start w:val="1"/>
      <w:numFmt w:val="bullet"/>
      <w:pStyle w:val="2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6EC3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56F98"/>
    <w:multiLevelType w:val="hybridMultilevel"/>
    <w:tmpl w:val="E0DA86D0"/>
    <w:lvl w:ilvl="0" w:tplc="A8100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8A0D7A"/>
    <w:multiLevelType w:val="multilevel"/>
    <w:tmpl w:val="33CC5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B04447"/>
    <w:multiLevelType w:val="hybridMultilevel"/>
    <w:tmpl w:val="58705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026A3"/>
    <w:multiLevelType w:val="hybridMultilevel"/>
    <w:tmpl w:val="C7FA36C2"/>
    <w:lvl w:ilvl="0" w:tplc="217AC6CA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A0237"/>
    <w:multiLevelType w:val="hybridMultilevel"/>
    <w:tmpl w:val="08E211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7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826594B"/>
    <w:multiLevelType w:val="hybridMultilevel"/>
    <w:tmpl w:val="7576B050"/>
    <w:lvl w:ilvl="0" w:tplc="C17C323C">
      <w:start w:val="4"/>
      <w:numFmt w:val="bullet"/>
      <w:lvlText w:val="-"/>
      <w:lvlJc w:val="left"/>
      <w:pPr>
        <w:ind w:left="7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626E1"/>
    <w:multiLevelType w:val="hybridMultilevel"/>
    <w:tmpl w:val="C84EF856"/>
    <w:lvl w:ilvl="0" w:tplc="A8100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940841567">
    <w:abstractNumId w:val="28"/>
  </w:num>
  <w:num w:numId="2" w16cid:durableId="75715940">
    <w:abstractNumId w:val="11"/>
  </w:num>
  <w:num w:numId="3" w16cid:durableId="915479223">
    <w:abstractNumId w:val="26"/>
  </w:num>
  <w:num w:numId="4" w16cid:durableId="1600215383">
    <w:abstractNumId w:val="20"/>
  </w:num>
  <w:num w:numId="5" w16cid:durableId="1017774564">
    <w:abstractNumId w:val="30"/>
  </w:num>
  <w:num w:numId="6" w16cid:durableId="60943705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154046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1451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6894153">
    <w:abstractNumId w:val="22"/>
  </w:num>
  <w:num w:numId="10" w16cid:durableId="911430319">
    <w:abstractNumId w:val="7"/>
  </w:num>
  <w:num w:numId="11" w16cid:durableId="1708406361">
    <w:abstractNumId w:val="9"/>
  </w:num>
  <w:num w:numId="12" w16cid:durableId="880436196">
    <w:abstractNumId w:val="38"/>
  </w:num>
  <w:num w:numId="13" w16cid:durableId="1203790716">
    <w:abstractNumId w:val="34"/>
  </w:num>
  <w:num w:numId="14" w16cid:durableId="684094599">
    <w:abstractNumId w:val="15"/>
  </w:num>
  <w:num w:numId="15" w16cid:durableId="1851065961">
    <w:abstractNumId w:val="35"/>
  </w:num>
  <w:num w:numId="16" w16cid:durableId="137571232">
    <w:abstractNumId w:val="18"/>
  </w:num>
  <w:num w:numId="17" w16cid:durableId="1694961893">
    <w:abstractNumId w:val="8"/>
  </w:num>
  <w:num w:numId="18" w16cid:durableId="27226555">
    <w:abstractNumId w:val="2"/>
  </w:num>
  <w:num w:numId="19" w16cid:durableId="1619486691">
    <w:abstractNumId w:val="5"/>
  </w:num>
  <w:num w:numId="20" w16cid:durableId="1526020742">
    <w:abstractNumId w:val="4"/>
  </w:num>
  <w:num w:numId="21" w16cid:durableId="1957054813">
    <w:abstractNumId w:val="39"/>
  </w:num>
  <w:num w:numId="22" w16cid:durableId="163054918">
    <w:abstractNumId w:val="37"/>
  </w:num>
  <w:num w:numId="23" w16cid:durableId="1517308294">
    <w:abstractNumId w:val="29"/>
  </w:num>
  <w:num w:numId="24" w16cid:durableId="658316363">
    <w:abstractNumId w:val="1"/>
  </w:num>
  <w:num w:numId="25" w16cid:durableId="111560582">
    <w:abstractNumId w:val="17"/>
  </w:num>
  <w:num w:numId="26" w16cid:durableId="2011446187">
    <w:abstractNumId w:val="21"/>
  </w:num>
  <w:num w:numId="27" w16cid:durableId="1883058418">
    <w:abstractNumId w:val="19"/>
  </w:num>
  <w:num w:numId="28" w16cid:durableId="1278104049">
    <w:abstractNumId w:val="12"/>
  </w:num>
  <w:num w:numId="29" w16cid:durableId="2040273150">
    <w:abstractNumId w:val="16"/>
  </w:num>
  <w:num w:numId="30" w16cid:durableId="1274901227">
    <w:abstractNumId w:val="27"/>
  </w:num>
  <w:num w:numId="31" w16cid:durableId="42873571">
    <w:abstractNumId w:val="10"/>
  </w:num>
  <w:num w:numId="32" w16cid:durableId="1055739697">
    <w:abstractNumId w:val="36"/>
  </w:num>
  <w:num w:numId="33" w16cid:durableId="1327129673">
    <w:abstractNumId w:val="31"/>
  </w:num>
  <w:num w:numId="34" w16cid:durableId="179046259">
    <w:abstractNumId w:val="14"/>
  </w:num>
  <w:num w:numId="35" w16cid:durableId="2131700008">
    <w:abstractNumId w:val="3"/>
  </w:num>
  <w:num w:numId="36" w16cid:durableId="543758877">
    <w:abstractNumId w:val="6"/>
  </w:num>
  <w:num w:numId="37" w16cid:durableId="1453356293">
    <w:abstractNumId w:val="32"/>
  </w:num>
  <w:num w:numId="38" w16cid:durableId="524294430">
    <w:abstractNumId w:val="13"/>
  </w:num>
  <w:num w:numId="39" w16cid:durableId="1781490661">
    <w:abstractNumId w:val="25"/>
  </w:num>
  <w:num w:numId="40" w16cid:durableId="1775401086">
    <w:abstractNumId w:val="33"/>
  </w:num>
  <w:num w:numId="41" w16cid:durableId="241448982">
    <w:abstractNumId w:val="0"/>
  </w:num>
  <w:num w:numId="42" w16cid:durableId="1307314535">
    <w:abstractNumId w:val="23"/>
  </w:num>
  <w:num w:numId="43" w16cid:durableId="183699688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29"/>
    <w:rsid w:val="00010632"/>
    <w:rsid w:val="00032D3F"/>
    <w:rsid w:val="00070C67"/>
    <w:rsid w:val="000B7A05"/>
    <w:rsid w:val="000C2D5C"/>
    <w:rsid w:val="000E4704"/>
    <w:rsid w:val="000F30E6"/>
    <w:rsid w:val="000F33FB"/>
    <w:rsid w:val="0014765D"/>
    <w:rsid w:val="00167651"/>
    <w:rsid w:val="001676B8"/>
    <w:rsid w:val="00171E3C"/>
    <w:rsid w:val="001776C0"/>
    <w:rsid w:val="001878DF"/>
    <w:rsid w:val="001C206D"/>
    <w:rsid w:val="001D3ADB"/>
    <w:rsid w:val="002011A1"/>
    <w:rsid w:val="00214DF3"/>
    <w:rsid w:val="00265A86"/>
    <w:rsid w:val="002B25E7"/>
    <w:rsid w:val="002B3D19"/>
    <w:rsid w:val="0031414D"/>
    <w:rsid w:val="00317D76"/>
    <w:rsid w:val="00341ACC"/>
    <w:rsid w:val="003535ED"/>
    <w:rsid w:val="0035365F"/>
    <w:rsid w:val="003B558F"/>
    <w:rsid w:val="003B61F5"/>
    <w:rsid w:val="003E1527"/>
    <w:rsid w:val="0043491C"/>
    <w:rsid w:val="00461D49"/>
    <w:rsid w:val="004841D7"/>
    <w:rsid w:val="0049790C"/>
    <w:rsid w:val="004A0659"/>
    <w:rsid w:val="004A36C7"/>
    <w:rsid w:val="004B544C"/>
    <w:rsid w:val="004F7ED0"/>
    <w:rsid w:val="00524ED1"/>
    <w:rsid w:val="0053110B"/>
    <w:rsid w:val="00563BDD"/>
    <w:rsid w:val="005804EC"/>
    <w:rsid w:val="005A6B13"/>
    <w:rsid w:val="005B66D3"/>
    <w:rsid w:val="005C0206"/>
    <w:rsid w:val="005F44CF"/>
    <w:rsid w:val="005F663A"/>
    <w:rsid w:val="00632B01"/>
    <w:rsid w:val="00647BC5"/>
    <w:rsid w:val="00663F9D"/>
    <w:rsid w:val="00693389"/>
    <w:rsid w:val="006A77BC"/>
    <w:rsid w:val="006B31A0"/>
    <w:rsid w:val="006B4AFD"/>
    <w:rsid w:val="006C5E6F"/>
    <w:rsid w:val="00705B9C"/>
    <w:rsid w:val="00723B98"/>
    <w:rsid w:val="00741F74"/>
    <w:rsid w:val="007612F4"/>
    <w:rsid w:val="00786EBB"/>
    <w:rsid w:val="00793AB4"/>
    <w:rsid w:val="007F5E38"/>
    <w:rsid w:val="008307C8"/>
    <w:rsid w:val="00870C9C"/>
    <w:rsid w:val="008B1287"/>
    <w:rsid w:val="008B65F4"/>
    <w:rsid w:val="008C453A"/>
    <w:rsid w:val="00902475"/>
    <w:rsid w:val="00916D95"/>
    <w:rsid w:val="00917160"/>
    <w:rsid w:val="00925655"/>
    <w:rsid w:val="0095390B"/>
    <w:rsid w:val="00967B91"/>
    <w:rsid w:val="0098387F"/>
    <w:rsid w:val="009B1FF9"/>
    <w:rsid w:val="00A133DA"/>
    <w:rsid w:val="00A1666D"/>
    <w:rsid w:val="00A16CE5"/>
    <w:rsid w:val="00A30FCA"/>
    <w:rsid w:val="00A4075F"/>
    <w:rsid w:val="00A43E71"/>
    <w:rsid w:val="00A7220F"/>
    <w:rsid w:val="00A72356"/>
    <w:rsid w:val="00A734E3"/>
    <w:rsid w:val="00AC3ECD"/>
    <w:rsid w:val="00AC60EB"/>
    <w:rsid w:val="00AC6F69"/>
    <w:rsid w:val="00AD1334"/>
    <w:rsid w:val="00AE389E"/>
    <w:rsid w:val="00B24C26"/>
    <w:rsid w:val="00B600D3"/>
    <w:rsid w:val="00B72329"/>
    <w:rsid w:val="00B91193"/>
    <w:rsid w:val="00BC6865"/>
    <w:rsid w:val="00BF29DF"/>
    <w:rsid w:val="00C2301E"/>
    <w:rsid w:val="00C30764"/>
    <w:rsid w:val="00C31EB1"/>
    <w:rsid w:val="00C3547A"/>
    <w:rsid w:val="00C527F0"/>
    <w:rsid w:val="00C553F6"/>
    <w:rsid w:val="00CA3890"/>
    <w:rsid w:val="00CB7386"/>
    <w:rsid w:val="00CF0489"/>
    <w:rsid w:val="00CF19F8"/>
    <w:rsid w:val="00D102B8"/>
    <w:rsid w:val="00D14015"/>
    <w:rsid w:val="00D37F6F"/>
    <w:rsid w:val="00D6344A"/>
    <w:rsid w:val="00D97BA3"/>
    <w:rsid w:val="00DA6FC1"/>
    <w:rsid w:val="00DA79CC"/>
    <w:rsid w:val="00E04CCC"/>
    <w:rsid w:val="00E1163D"/>
    <w:rsid w:val="00E34A42"/>
    <w:rsid w:val="00E81A87"/>
    <w:rsid w:val="00E90657"/>
    <w:rsid w:val="00EA26BB"/>
    <w:rsid w:val="00EF2C6D"/>
    <w:rsid w:val="00F061EA"/>
    <w:rsid w:val="00F22EC8"/>
    <w:rsid w:val="00F35FD2"/>
    <w:rsid w:val="00F64A24"/>
    <w:rsid w:val="00FA1252"/>
    <w:rsid w:val="00FA6E8E"/>
    <w:rsid w:val="00FE17B4"/>
    <w:rsid w:val="00FE51A5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850D"/>
  <w15:chartTrackingRefBased/>
  <w15:docId w15:val="{02762DFB-5F8F-49CD-A31F-7C22F7AA9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6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qFormat/>
    <w:rsid w:val="001776C0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1776C0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776C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776C0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776C0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776C0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76C0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776C0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1776C0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6C0"/>
    <w:rPr>
      <w:rFonts w:ascii="Arial Armenian" w:eastAsia="Times New Roman" w:hAnsi="Arial Armenian" w:cs="Times New Roman"/>
      <w:kern w:val="0"/>
      <w:sz w:val="28"/>
      <w:szCs w:val="20"/>
      <w:lang w:eastAsia="ru-RU"/>
      <w14:ligatures w14:val="none"/>
    </w:rPr>
  </w:style>
  <w:style w:type="character" w:customStyle="1" w:styleId="21">
    <w:name w:val="Заголовок 2 Знак"/>
    <w:basedOn w:val="a0"/>
    <w:link w:val="20"/>
    <w:rsid w:val="001776C0"/>
    <w:rPr>
      <w:rFonts w:ascii="Arial LatArm" w:eastAsia="Times New Roman" w:hAnsi="Arial LatArm" w:cs="Times New Roman"/>
      <w:b/>
      <w:color w:val="0000FF"/>
      <w:kern w:val="0"/>
      <w:sz w:val="20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1776C0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1776C0"/>
    <w:rPr>
      <w:rFonts w:ascii="Arial LatArm" w:eastAsia="Times New Roman" w:hAnsi="Arial LatArm" w:cs="Times New Roman"/>
      <w:i/>
      <w:kern w:val="0"/>
      <w:sz w:val="18"/>
      <w:szCs w:val="20"/>
      <w14:ligatures w14:val="none"/>
    </w:rPr>
  </w:style>
  <w:style w:type="character" w:customStyle="1" w:styleId="50">
    <w:name w:val="Заголовок 5 Знак"/>
    <w:basedOn w:val="a0"/>
    <w:link w:val="5"/>
    <w:rsid w:val="001776C0"/>
    <w:rPr>
      <w:rFonts w:ascii="Arial LatArm" w:eastAsia="Times New Roman" w:hAnsi="Arial LatArm" w:cs="Times New Roman"/>
      <w:b/>
      <w:kern w:val="0"/>
      <w:sz w:val="26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1776C0"/>
    <w:rPr>
      <w:rFonts w:ascii="Arial LatArm" w:eastAsia="Times New Roman" w:hAnsi="Arial LatArm" w:cs="Times New Roman"/>
      <w:b/>
      <w:color w:val="000000"/>
      <w:kern w:val="0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1776C0"/>
    <w:rPr>
      <w:rFonts w:ascii="Times Armenian" w:eastAsia="Times New Roman" w:hAnsi="Times Armenian" w:cs="Times New Roman"/>
      <w:b/>
      <w:kern w:val="0"/>
      <w:sz w:val="20"/>
      <w:szCs w:val="20"/>
      <w:lang w:val="hy-AM" w:eastAsia="ru-RU"/>
      <w14:ligatures w14:val="none"/>
    </w:rPr>
  </w:style>
  <w:style w:type="character" w:customStyle="1" w:styleId="80">
    <w:name w:val="Заголовок 8 Знак"/>
    <w:basedOn w:val="a0"/>
    <w:link w:val="8"/>
    <w:rsid w:val="001776C0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1776C0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1776C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776C0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1776C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776C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31">
    <w:name w:val="Body Text Indent 3"/>
    <w:basedOn w:val="a"/>
    <w:link w:val="32"/>
    <w:rsid w:val="001776C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776C0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22">
    <w:name w:val="Body Text 2"/>
    <w:basedOn w:val="a"/>
    <w:link w:val="23"/>
    <w:rsid w:val="001776C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1776C0"/>
    <w:rPr>
      <w:rFonts w:ascii="Arial LatArm" w:eastAsia="Times New Roman" w:hAnsi="Arial LatArm" w:cs="Times New Roman"/>
      <w:kern w:val="0"/>
      <w:sz w:val="20"/>
      <w:szCs w:val="20"/>
      <w14:ligatures w14:val="none"/>
    </w:rPr>
  </w:style>
  <w:style w:type="paragraph" w:styleId="24">
    <w:name w:val="Body Text Indent 2"/>
    <w:basedOn w:val="a"/>
    <w:link w:val="25"/>
    <w:rsid w:val="001776C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5">
    <w:name w:val="Основной текст с отступом 2 Знак"/>
    <w:basedOn w:val="a0"/>
    <w:link w:val="24"/>
    <w:rsid w:val="001776C0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1776C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1776C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1776C0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1776C0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uiPriority w:val="99"/>
    <w:rsid w:val="001776C0"/>
    <w:rPr>
      <w:color w:val="0000FF"/>
      <w:u w:val="single"/>
    </w:rPr>
  </w:style>
  <w:style w:type="character" w:customStyle="1" w:styleId="CharChar1">
    <w:name w:val="Char Char1"/>
    <w:locked/>
    <w:rsid w:val="001776C0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776C0"/>
    <w:pPr>
      <w:spacing w:after="120"/>
    </w:pPr>
  </w:style>
  <w:style w:type="character" w:customStyle="1" w:styleId="ab">
    <w:name w:val="Основной текст Знак"/>
    <w:basedOn w:val="a0"/>
    <w:link w:val="aa"/>
    <w:rsid w:val="001776C0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1">
    <w:name w:val="index 1"/>
    <w:basedOn w:val="a"/>
    <w:next w:val="a"/>
    <w:autoRedefine/>
    <w:semiHidden/>
    <w:rsid w:val="001776C0"/>
    <w:pPr>
      <w:ind w:left="240" w:hanging="240"/>
    </w:pPr>
  </w:style>
  <w:style w:type="paragraph" w:styleId="ac">
    <w:name w:val="index heading"/>
    <w:basedOn w:val="a"/>
    <w:next w:val="11"/>
    <w:semiHidden/>
    <w:rsid w:val="001776C0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1776C0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1776C0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1776C0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776C0"/>
    <w:rPr>
      <w:rFonts w:ascii="Arial LatArm" w:eastAsia="Times New Roman" w:hAnsi="Arial LatArm" w:cs="Times New Roman"/>
      <w:kern w:val="0"/>
      <w:sz w:val="20"/>
      <w:szCs w:val="20"/>
      <w:lang w:eastAsia="ru-RU"/>
      <w14:ligatures w14:val="none"/>
    </w:rPr>
  </w:style>
  <w:style w:type="paragraph" w:styleId="af">
    <w:name w:val="Title"/>
    <w:basedOn w:val="a"/>
    <w:link w:val="af0"/>
    <w:qFormat/>
    <w:rsid w:val="001776C0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1776C0"/>
    <w:rPr>
      <w:rFonts w:ascii="Arial Armenian" w:eastAsia="Times New Roman" w:hAnsi="Arial Armenian" w:cs="Times New Roman"/>
      <w:kern w:val="0"/>
      <w:sz w:val="24"/>
      <w:szCs w:val="20"/>
      <w14:ligatures w14:val="none"/>
    </w:rPr>
  </w:style>
  <w:style w:type="character" w:styleId="af1">
    <w:name w:val="page number"/>
    <w:basedOn w:val="a0"/>
    <w:rsid w:val="001776C0"/>
  </w:style>
  <w:style w:type="paragraph" w:styleId="af2">
    <w:name w:val="footnote text"/>
    <w:basedOn w:val="a"/>
    <w:link w:val="af3"/>
    <w:semiHidden/>
    <w:rsid w:val="001776C0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1776C0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1776C0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776C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776C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776C0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1776C0"/>
    <w:pPr>
      <w:spacing w:before="100" w:beforeAutospacing="1" w:after="100" w:afterAutospacing="1"/>
    </w:pPr>
  </w:style>
  <w:style w:type="character" w:styleId="af5">
    <w:name w:val="Strong"/>
    <w:qFormat/>
    <w:rsid w:val="001776C0"/>
    <w:rPr>
      <w:b/>
      <w:bCs/>
    </w:rPr>
  </w:style>
  <w:style w:type="character" w:styleId="af6">
    <w:name w:val="footnote reference"/>
    <w:semiHidden/>
    <w:rsid w:val="001776C0"/>
    <w:rPr>
      <w:vertAlign w:val="superscript"/>
    </w:rPr>
  </w:style>
  <w:style w:type="character" w:customStyle="1" w:styleId="CharChar22">
    <w:name w:val="Char Char22"/>
    <w:rsid w:val="001776C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776C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776C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776C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776C0"/>
    <w:rPr>
      <w:rFonts w:ascii="Arial Armenian" w:hAnsi="Arial Armenian"/>
      <w:lang w:val="en-US"/>
    </w:rPr>
  </w:style>
  <w:style w:type="character" w:styleId="af7">
    <w:name w:val="annotation reference"/>
    <w:semiHidden/>
    <w:rsid w:val="001776C0"/>
    <w:rPr>
      <w:sz w:val="16"/>
      <w:szCs w:val="16"/>
    </w:rPr>
  </w:style>
  <w:style w:type="paragraph" w:styleId="af8">
    <w:name w:val="annotation text"/>
    <w:basedOn w:val="a"/>
    <w:link w:val="af9"/>
    <w:semiHidden/>
    <w:rsid w:val="001776C0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1776C0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1776C0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776C0"/>
    <w:rPr>
      <w:rFonts w:ascii="Times Armenian" w:eastAsia="Times New Roman" w:hAnsi="Times Armenian" w:cs="Times New Roman"/>
      <w:b/>
      <w:bCs/>
      <w:kern w:val="0"/>
      <w:sz w:val="20"/>
      <w:szCs w:val="20"/>
      <w:lang w:eastAsia="ru-RU"/>
      <w14:ligatures w14:val="none"/>
    </w:rPr>
  </w:style>
  <w:style w:type="paragraph" w:styleId="afc">
    <w:name w:val="endnote text"/>
    <w:basedOn w:val="a"/>
    <w:link w:val="afd"/>
    <w:semiHidden/>
    <w:rsid w:val="001776C0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1776C0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styleId="afe">
    <w:name w:val="endnote reference"/>
    <w:semiHidden/>
    <w:rsid w:val="001776C0"/>
    <w:rPr>
      <w:vertAlign w:val="superscript"/>
    </w:rPr>
  </w:style>
  <w:style w:type="paragraph" w:styleId="aff">
    <w:name w:val="Document Map"/>
    <w:basedOn w:val="a"/>
    <w:link w:val="aff0"/>
    <w:semiHidden/>
    <w:rsid w:val="001776C0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1776C0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aff1">
    <w:name w:val="Revision"/>
    <w:hidden/>
    <w:semiHidden/>
    <w:rsid w:val="001776C0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table" w:styleId="aff2">
    <w:name w:val="Table Grid"/>
    <w:basedOn w:val="a1"/>
    <w:rsid w:val="001776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1776C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776C0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776C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776C0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1776C0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1776C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776C0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1776C0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776C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776C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776C0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77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77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77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77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77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776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776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776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776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776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776C0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776C0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776C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776C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776C0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776C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776C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776C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776C0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776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776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776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1776C0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1776C0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uiPriority w:val="99"/>
    <w:rsid w:val="001776C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776C0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1776C0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1776C0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1776C0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1776C0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1776C0"/>
    <w:rPr>
      <w:color w:val="605E5C"/>
      <w:shd w:val="clear" w:color="auto" w:fill="E1DFDD"/>
    </w:rPr>
  </w:style>
  <w:style w:type="character" w:styleId="aff8">
    <w:name w:val="Unresolved Mention"/>
    <w:basedOn w:val="a0"/>
    <w:uiPriority w:val="99"/>
    <w:semiHidden/>
    <w:unhideWhenUsed/>
    <w:rsid w:val="00663F9D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D97BA3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D97BA3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2">
    <w:name w:val="List Bullet 2"/>
    <w:basedOn w:val="a"/>
    <w:rsid w:val="00D97BA3"/>
    <w:pPr>
      <w:numPr>
        <w:numId w:val="41"/>
      </w:numPr>
      <w:contextualSpacing/>
    </w:pPr>
  </w:style>
  <w:style w:type="paragraph" w:styleId="aff9">
    <w:name w:val="Normal Indent"/>
    <w:basedOn w:val="a"/>
    <w:rsid w:val="00D97BA3"/>
    <w:pPr>
      <w:ind w:left="720"/>
    </w:pPr>
  </w:style>
  <w:style w:type="paragraph" w:styleId="26">
    <w:name w:val="Body Text First Indent 2"/>
    <w:basedOn w:val="a3"/>
    <w:link w:val="27"/>
    <w:rsid w:val="00D97BA3"/>
    <w:pPr>
      <w:spacing w:after="120" w:line="240" w:lineRule="auto"/>
      <w:ind w:left="360" w:firstLine="210"/>
      <w:jc w:val="left"/>
    </w:pPr>
    <w:rPr>
      <w:rFonts w:ascii="Times New Roman" w:hAnsi="Times New Roman"/>
      <w:i w:val="0"/>
      <w:sz w:val="24"/>
      <w:szCs w:val="24"/>
      <w:lang w:val="en-US"/>
    </w:rPr>
  </w:style>
  <w:style w:type="character" w:customStyle="1" w:styleId="27">
    <w:name w:val="Красная строка 2 Знак"/>
    <w:basedOn w:val="a4"/>
    <w:link w:val="26"/>
    <w:rsid w:val="00D97BA3"/>
    <w:rPr>
      <w:rFonts w:ascii="Times New Roman" w:eastAsia="Times New Roman" w:hAnsi="Times New Roman" w:cs="Times New Roman"/>
      <w:i w:val="0"/>
      <w:kern w:val="0"/>
      <w:sz w:val="24"/>
      <w:szCs w:val="24"/>
      <w:lang w:val="en-AU"/>
      <w14:ligatures w14:val="none"/>
    </w:rPr>
  </w:style>
  <w:style w:type="paragraph" w:customStyle="1" w:styleId="xl76">
    <w:name w:val="xl76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77">
    <w:name w:val="xl77"/>
    <w:basedOn w:val="a"/>
    <w:rsid w:val="00D97BA3"/>
    <w:pP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78">
    <w:name w:val="xl78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79">
    <w:name w:val="xl79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</w:rPr>
  </w:style>
  <w:style w:type="paragraph" w:customStyle="1" w:styleId="xl80">
    <w:name w:val="xl80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/>
    </w:rPr>
  </w:style>
  <w:style w:type="paragraph" w:customStyle="1" w:styleId="xl81">
    <w:name w:val="xl81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82">
    <w:name w:val="xl82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83">
    <w:name w:val="xl83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GHEA Grapalat" w:hAnsi="GHEA Grapalat"/>
    </w:rPr>
  </w:style>
  <w:style w:type="paragraph" w:customStyle="1" w:styleId="xl84">
    <w:name w:val="xl84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85">
    <w:name w:val="xl85"/>
    <w:basedOn w:val="a"/>
    <w:rsid w:val="00D97BA3"/>
    <w:pP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86">
    <w:name w:val="xl86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87">
    <w:name w:val="xl87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88">
    <w:name w:val="xl88"/>
    <w:basedOn w:val="a"/>
    <w:rsid w:val="00D97BA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89">
    <w:name w:val="xl89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90">
    <w:name w:val="xl90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91">
    <w:name w:val="xl91"/>
    <w:basedOn w:val="a"/>
    <w:rsid w:val="00D97B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92">
    <w:name w:val="xl92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93">
    <w:name w:val="xl93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</w:rPr>
  </w:style>
  <w:style w:type="paragraph" w:customStyle="1" w:styleId="xl94">
    <w:name w:val="xl94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GHEA Grapalat" w:hAnsi="GHEA Grapalat"/>
    </w:rPr>
  </w:style>
  <w:style w:type="paragraph" w:customStyle="1" w:styleId="xl95">
    <w:name w:val="xl95"/>
    <w:basedOn w:val="a"/>
    <w:rsid w:val="00D97BA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GHEA Grapalat" w:hAnsi="GHEA Grapalat"/>
    </w:rPr>
  </w:style>
  <w:style w:type="paragraph" w:customStyle="1" w:styleId="xl96">
    <w:name w:val="xl96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</w:rPr>
  </w:style>
  <w:style w:type="paragraph" w:customStyle="1" w:styleId="xl97">
    <w:name w:val="xl97"/>
    <w:basedOn w:val="a"/>
    <w:rsid w:val="00D97B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</w:rPr>
  </w:style>
  <w:style w:type="paragraph" w:customStyle="1" w:styleId="xl98">
    <w:name w:val="xl98"/>
    <w:basedOn w:val="a"/>
    <w:rsid w:val="00D97BA3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99">
    <w:name w:val="xl99"/>
    <w:basedOn w:val="a"/>
    <w:rsid w:val="00D97BA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100">
    <w:name w:val="xl100"/>
    <w:basedOn w:val="a"/>
    <w:rsid w:val="00D97BA3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101">
    <w:name w:val="xl101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</w:rPr>
  </w:style>
  <w:style w:type="paragraph" w:customStyle="1" w:styleId="xl102">
    <w:name w:val="xl102"/>
    <w:basedOn w:val="a"/>
    <w:rsid w:val="00D97BA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103">
    <w:name w:val="xl103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</w:rPr>
  </w:style>
  <w:style w:type="paragraph" w:customStyle="1" w:styleId="xl104">
    <w:name w:val="xl104"/>
    <w:basedOn w:val="a"/>
    <w:rsid w:val="00D97B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</w:rPr>
  </w:style>
  <w:style w:type="paragraph" w:customStyle="1" w:styleId="xl105">
    <w:name w:val="xl105"/>
    <w:basedOn w:val="a"/>
    <w:rsid w:val="00D97BA3"/>
    <w:pP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106">
    <w:name w:val="xl106"/>
    <w:basedOn w:val="a"/>
    <w:rsid w:val="00D97BA3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107">
    <w:name w:val="xl107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108">
    <w:name w:val="xl108"/>
    <w:basedOn w:val="a"/>
    <w:rsid w:val="00D97BA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109">
    <w:name w:val="xl109"/>
    <w:basedOn w:val="a"/>
    <w:rsid w:val="00D97B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110">
    <w:name w:val="xl110"/>
    <w:basedOn w:val="a"/>
    <w:rsid w:val="00D97B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</w:rPr>
  </w:style>
  <w:style w:type="paragraph" w:customStyle="1" w:styleId="xl111">
    <w:name w:val="xl111"/>
    <w:basedOn w:val="a"/>
    <w:rsid w:val="00D97B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112">
    <w:name w:val="xl112"/>
    <w:basedOn w:val="a"/>
    <w:rsid w:val="00D97BA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  <w:style w:type="paragraph" w:customStyle="1" w:styleId="xl113">
    <w:name w:val="xl113"/>
    <w:basedOn w:val="a"/>
    <w:rsid w:val="00D97BA3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Muradyan</dc:creator>
  <cp:keywords/>
  <dc:description/>
  <cp:lastModifiedBy>Torosyan Samvel</cp:lastModifiedBy>
  <cp:revision>127</cp:revision>
  <dcterms:created xsi:type="dcterms:W3CDTF">2023-12-13T05:13:00Z</dcterms:created>
  <dcterms:modified xsi:type="dcterms:W3CDTF">2024-10-16T13:18:00Z</dcterms:modified>
</cp:coreProperties>
</file>