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22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12213"/>
        <w:gridCol w:w="710"/>
        <w:gridCol w:w="787"/>
      </w:tblGrid>
      <w:tr w:rsidR="00A0369F" w:rsidRPr="00456493" w14:paraId="489FDA47" w14:textId="77777777" w:rsidTr="00BD6A52">
        <w:trPr>
          <w:trHeight w:val="263"/>
        </w:trPr>
        <w:tc>
          <w:tcPr>
            <w:tcW w:w="14228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A15754" w14:textId="6F0BBDD5" w:rsidR="00A0369F" w:rsidRPr="00456493" w:rsidRDefault="00063FF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</w:rPr>
            </w:pPr>
            <w:bookmarkStart w:id="0" w:name="_GoBack"/>
            <w:bookmarkEnd w:id="0"/>
            <w:r w:rsidRPr="009E3A79">
              <w:rPr>
                <w:rFonts w:ascii="GHEA Grapalat" w:eastAsia="GHEA Grapalat" w:hAnsi="GHEA Grapalat" w:cs="GHEA Grapalat"/>
                <w:b/>
                <w:i/>
                <w:sz w:val="16"/>
                <w:lang w:val="hy-AM"/>
              </w:rPr>
              <w:br w:type="page"/>
            </w:r>
            <w:r w:rsidR="00A0369F" w:rsidRPr="00456493">
              <w:rPr>
                <w:rFonts w:ascii="GHEA Grapalat" w:eastAsia="Sylfaen" w:hAnsi="GHEA Grapalat" w:cs="Sylfaen"/>
                <w:b/>
                <w:sz w:val="20"/>
              </w:rPr>
              <w:t>ՏԵԽՆԻԿԱԿԱՆ</w:t>
            </w:r>
            <w:r w:rsidR="00A0369F" w:rsidRPr="00456493">
              <w:rPr>
                <w:rFonts w:ascii="GHEA Grapalat" w:eastAsia="GHEA Grapalat" w:hAnsi="GHEA Grapalat" w:cs="GHEA Grapalat"/>
                <w:b/>
                <w:sz w:val="20"/>
              </w:rPr>
              <w:t>-</w:t>
            </w:r>
            <w:r w:rsidR="00A0369F" w:rsidRPr="00456493">
              <w:rPr>
                <w:rFonts w:ascii="GHEA Grapalat" w:eastAsia="Sylfaen" w:hAnsi="GHEA Grapalat" w:cs="Sylfaen"/>
                <w:b/>
                <w:sz w:val="20"/>
              </w:rPr>
              <w:t>ԱՌԱՋԱԴՐԱՆՔ</w:t>
            </w:r>
            <w:r w:rsidR="00A0369F" w:rsidRPr="00456493">
              <w:rPr>
                <w:rFonts w:ascii="GHEA Grapalat" w:eastAsia="GHEA Grapalat" w:hAnsi="GHEA Grapalat" w:cs="GHEA Grapalat"/>
                <w:b/>
                <w:sz w:val="20"/>
              </w:rPr>
              <w:t>-1</w:t>
            </w:r>
          </w:p>
        </w:tc>
      </w:tr>
      <w:tr w:rsidR="00A0369F" w:rsidRPr="00456493" w14:paraId="2FAE0BA2" w14:textId="77777777" w:rsidTr="00D673D2">
        <w:trPr>
          <w:trHeight w:val="295"/>
        </w:trPr>
        <w:tc>
          <w:tcPr>
            <w:tcW w:w="51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85A87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6"/>
              </w:rPr>
              <w:t>N/N</w:t>
            </w:r>
          </w:p>
        </w:tc>
        <w:tc>
          <w:tcPr>
            <w:tcW w:w="12213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9BC368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b/>
                <w:sz w:val="16"/>
              </w:rPr>
              <w:t>անվանումը</w:t>
            </w:r>
            <w:r w:rsidRPr="00456493">
              <w:rPr>
                <w:rFonts w:ascii="GHEA Grapalat" w:eastAsia="GHEA Grapalat" w:hAnsi="GHEA Grapalat" w:cs="GHEA Grapalat"/>
                <w:b/>
                <w:sz w:val="16"/>
              </w:rPr>
              <w:t>/</w:t>
            </w:r>
            <w:r w:rsidRPr="00456493">
              <w:rPr>
                <w:rFonts w:ascii="GHEA Grapalat" w:eastAsia="Sylfaen" w:hAnsi="GHEA Grapalat" w:cs="Sylfaen"/>
                <w:b/>
                <w:sz w:val="16"/>
              </w:rPr>
              <w:t>տեխնիկական</w:t>
            </w:r>
            <w:r w:rsidRPr="00456493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r w:rsidRPr="00456493">
              <w:rPr>
                <w:rFonts w:ascii="GHEA Grapalat" w:eastAsia="Sylfaen" w:hAnsi="GHEA Grapalat" w:cs="Sylfaen"/>
                <w:b/>
                <w:sz w:val="16"/>
              </w:rPr>
              <w:t>բնութագիրը</w:t>
            </w:r>
          </w:p>
        </w:tc>
        <w:tc>
          <w:tcPr>
            <w:tcW w:w="71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A423C6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b/>
                <w:sz w:val="16"/>
              </w:rPr>
              <w:t>չափման</w:t>
            </w:r>
            <w:r w:rsidRPr="00456493">
              <w:rPr>
                <w:rFonts w:ascii="GHEA Grapalat" w:eastAsia="GHEA Grapalat" w:hAnsi="GHEA Grapalat" w:cs="GHEA Grapalat"/>
                <w:b/>
                <w:sz w:val="16"/>
              </w:rPr>
              <w:t xml:space="preserve"> </w:t>
            </w:r>
            <w:r w:rsidRPr="00456493">
              <w:rPr>
                <w:rFonts w:ascii="GHEA Grapalat" w:eastAsia="Sylfaen" w:hAnsi="GHEA Grapalat" w:cs="Sylfaen"/>
                <w:b/>
                <w:sz w:val="16"/>
              </w:rPr>
              <w:t>միավորը</w:t>
            </w:r>
          </w:p>
        </w:tc>
        <w:tc>
          <w:tcPr>
            <w:tcW w:w="78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FD6F91" w14:textId="58D8BABA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b/>
                <w:sz w:val="16"/>
              </w:rPr>
              <w:t>քանա</w:t>
            </w:r>
            <w:r w:rsidR="00BD6A52" w:rsidRPr="00456493">
              <w:rPr>
                <w:rFonts w:ascii="GHEA Grapalat" w:eastAsia="Sylfaen" w:hAnsi="GHEA Grapalat" w:cs="Sylfaen"/>
                <w:b/>
                <w:sz w:val="16"/>
              </w:rPr>
              <w:t>-</w:t>
            </w:r>
            <w:r w:rsidRPr="00456493">
              <w:rPr>
                <w:rFonts w:ascii="GHEA Grapalat" w:eastAsia="Sylfaen" w:hAnsi="GHEA Grapalat" w:cs="Sylfaen"/>
                <w:b/>
                <w:sz w:val="16"/>
              </w:rPr>
              <w:t>կը</w:t>
            </w:r>
          </w:p>
        </w:tc>
      </w:tr>
      <w:tr w:rsidR="00A0369F" w:rsidRPr="00456493" w14:paraId="67A2331C" w14:textId="77777777" w:rsidTr="00D673D2">
        <w:trPr>
          <w:trHeight w:val="534"/>
        </w:trPr>
        <w:tc>
          <w:tcPr>
            <w:tcW w:w="518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01064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221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B26D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710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ECE2E9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78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C9ED5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</w:tr>
      <w:tr w:rsidR="00A0369F" w:rsidRPr="00456493" w14:paraId="1EC720F1" w14:textId="77777777" w:rsidTr="00D673D2">
        <w:trPr>
          <w:trHeight w:val="534"/>
        </w:trPr>
        <w:tc>
          <w:tcPr>
            <w:tcW w:w="518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8FAE9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2213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297C2C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710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8D68F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78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01BD47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</w:tr>
      <w:tr w:rsidR="00A0369F" w:rsidRPr="00456493" w14:paraId="01D9D42C" w14:textId="77777777" w:rsidTr="00D673D2">
        <w:trPr>
          <w:trHeight w:val="263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47705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1221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AE0C6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1DBD5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F616E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4</w:t>
            </w:r>
          </w:p>
        </w:tc>
      </w:tr>
      <w:tr w:rsidR="00A0369F" w:rsidRPr="00456493" w14:paraId="27C6BC28" w14:textId="77777777" w:rsidTr="00D673D2">
        <w:trPr>
          <w:trHeight w:val="433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AD423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221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D16A6F" w14:textId="2B7A9F41" w:rsidR="00A0369F" w:rsidRPr="00456493" w:rsidRDefault="00376B3D" w:rsidP="00376B3D">
            <w:pPr>
              <w:jc w:val="center"/>
              <w:rPr>
                <w:rFonts w:ascii="GHEA Grapalat" w:eastAsia="GHEA Grapalat" w:hAnsi="GHEA Grapalat" w:cs="GHEA Grapalat"/>
                <w:b/>
                <w:sz w:val="20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ԹԱՏՐՈՆԻ ԲԵՄԻ ԼՈՒՍԱՅԻՆ ՀԱՄԱԿԱՐԳ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ECEEE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94FD5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Calibri" w:hAnsi="GHEA Grapalat" w:cs="Calibri"/>
              </w:rPr>
            </w:pPr>
          </w:p>
        </w:tc>
      </w:tr>
      <w:tr w:rsidR="00A0369F" w:rsidRPr="00456493" w14:paraId="427F0E9B" w14:textId="77777777" w:rsidTr="00D673D2">
        <w:trPr>
          <w:trHeight w:val="2337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2D190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2715B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 xml:space="preserve">Լեդ լուսատու սարք, ֆրեսսնել ոսպնյակով, լամպի հզորությունը առնվազն 400 Վտ: Գույնի ջերմաստիճանը 3200-5600 K: Լամպի աշխատանքային տևողությունը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նախատեսված </w:t>
            </w:r>
            <w:r w:rsidRPr="00456493">
              <w:rPr>
                <w:rFonts w:ascii="GHEA Grapalat" w:hAnsi="GHEA Grapalat"/>
                <w:color w:val="000000" w:themeColor="text1"/>
              </w:rPr>
              <w:t>առնվազն 50000 ժամ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աշխատելու համար</w:t>
            </w:r>
            <w:r w:rsidRPr="00456493">
              <w:rPr>
                <w:rFonts w:ascii="GHEA Grapalat" w:hAnsi="GHEA Grapalat"/>
                <w:color w:val="000000" w:themeColor="text1"/>
              </w:rPr>
              <w:t>: Սնուցման աղբյուր՝ AC 100-240V, 50/60 Hz:</w:t>
            </w:r>
          </w:p>
          <w:p w14:paraId="3D78C8F9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Մուտքի հզորությունը՝ առնվազն 4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-450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Վտ,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</w:rPr>
              <w:t>PF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≥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</w:rPr>
              <w:t>0,99,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</w:rPr>
              <w:t>կառավարումը DMX512,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(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սա այն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ստանդարտ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ն է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, որը նկարագրում է տվյալների թվային փոխանցման մեթոդը կարգավորիչների և լուսավորության սարքավորումների, ինչպես նաև լրացուցիչ սարքավորումների միջև: </w:t>
            </w:r>
          </w:p>
          <w:p w14:paraId="5DC2DAFC" w14:textId="5FAFBE29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Fine Art</w:t>
            </w:r>
            <w:r w:rsidR="005F362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արտադրողի Fine Art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ֆիրմայի </w:t>
            </w:r>
            <w:r w:rsidR="00AC3899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Fine Art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Fine 350-400T FS մոդելը կամ համարժեք</w:t>
            </w:r>
            <w:r w:rsidR="00234BF8" w:rsidRPr="009E3A79">
              <w:rPr>
                <w:rFonts w:ascii="GHEA Grapalat" w:hAnsi="GHEA Grapalat"/>
                <w:color w:val="000000" w:themeColor="text1"/>
                <w:lang w:val="hy-AM"/>
              </w:rPr>
              <w:t xml:space="preserve"> համարվող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Anzhee </w:t>
            </w:r>
            <w:r w:rsidR="005F362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արտադրողի Anzhee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ֆիրմայի</w:t>
            </w:r>
            <w:r w:rsidR="00AC3899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Anzhee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pro 350 մոդելը</w:t>
            </w:r>
            <w:r w:rsidR="00234BF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="00234BF8" w:rsidRPr="00456493">
              <w:rPr>
                <w:rFonts w:ascii="GHEA Grapalat" w:hAnsi="GHEA Grapalat"/>
                <w:color w:val="000000" w:themeColor="text1"/>
                <w:lang w:val="hy-AM"/>
              </w:rPr>
              <w:t>կամ համարժեք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="00234BF8" w:rsidRPr="009E3A79">
              <w:rPr>
                <w:rFonts w:ascii="GHEA Grapalat" w:hAnsi="GHEA Grapalat"/>
                <w:color w:val="000000" w:themeColor="text1"/>
                <w:lang w:val="hy-AM"/>
              </w:rPr>
              <w:t>համարվող</w:t>
            </w:r>
            <w:r w:rsidR="00234BF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="005F362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Showlight արտադրողի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Showlight ֆիրմայի </w:t>
            </w:r>
            <w:r w:rsidR="00AC3899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Showlight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SL-400 FPF-RGBAL մոդելը</w:t>
            </w:r>
            <w:r w:rsidR="005F3628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57F048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A9C1D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26</w:t>
            </w:r>
          </w:p>
        </w:tc>
      </w:tr>
      <w:tr w:rsidR="00A0369F" w:rsidRPr="00456493" w14:paraId="10F8CB03" w14:textId="77777777" w:rsidTr="00D673D2">
        <w:trPr>
          <w:trHeight w:val="1749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60298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2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6C68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 xml:space="preserve">Օպտիկական համակարգ, Լույսի աղբյուր՝ առնվազն 400 wLED մոդուլ, կյանքի տևողությունը՝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նախատեսված ≥50,000 ժամ, ոսպնյակ 25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-50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ներառյալ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ճառագայթի բացվածքի աստիճանը,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գույնի ջերմաստիճանը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3200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-3500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k, CRI:Ra&gt;90: Սնուցման աղբյուր՝ 100-240V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</w:rPr>
              <w:t>~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50/60 Hz, մուտքային հզորություն՝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400-450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Վտ, PF≥0,99, կառավարումը DMX512, (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սա այն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ստանդարտ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ն է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, որը նկարագրում է տվյալների թվային փոխանցման մեթոդը կարգավորիչների և լուսավորության սարքավորումների, ինչպես նաև լրացուցիչ սարքավորումների միջև): </w:t>
            </w:r>
          </w:p>
          <w:p w14:paraId="359A6396" w14:textId="3A14C88F" w:rsidR="00A0369F" w:rsidRPr="00456493" w:rsidRDefault="00C27368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FineArt 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 ֆիրմայի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FineArt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FINE 300T/400T LEKO մոդելը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,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Profile 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Profile ֆիրմայի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Profile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300ww մոդելը,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Proton արտադրողի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Proton ֆիրմայի 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Proton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400w մոդելը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: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EB3CB7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8546C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 w:cs="Cambria Math"/>
              </w:rPr>
              <w:t>24</w:t>
            </w:r>
          </w:p>
        </w:tc>
      </w:tr>
      <w:tr w:rsidR="00A0369F" w:rsidRPr="00456493" w14:paraId="2F739276" w14:textId="77777777" w:rsidTr="00D673D2">
        <w:trPr>
          <w:trHeight w:val="1734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90E498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3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9E5F07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Լույսի աղբյուր՝ առնվազն 15wX 14LED (RGBW), գույնի ջերմաստիճանը՝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2700-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8000K,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CTO գծային գույնի ջերմաստիճանի կարգավորում </w:t>
            </w:r>
            <w:r w:rsidRPr="00456493">
              <w:rPr>
                <w:rFonts w:ascii="GHEA Grapalat" w:hAnsi="GHEA Grapalat"/>
                <w:color w:val="000000" w:themeColor="text1"/>
              </w:rPr>
              <w:t>(2700K-6500K)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Օպտիկական համակարգ՝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</w:rPr>
              <w:t>DMX512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կարգավորմամբ,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ճառագայթի բացվածքի աստիճանը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12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>-27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ներառյալ</w:t>
            </w:r>
            <w:r w:rsidRPr="00456493">
              <w:rPr>
                <w:rFonts w:ascii="GHEA Grapalat" w:hAnsi="GHEA Grapalat"/>
                <w:color w:val="000000" w:themeColor="text1"/>
              </w:rPr>
              <w:t>, մուտքային լարումը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՝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100-240V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</w:rPr>
              <w:t xml:space="preserve">~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50/60Hz, մուտքային հզորությունը՝ 1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80-220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Վտ, կառավարման ռեժիմ՝ DMX512 (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սա այն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ստանդարտ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ն է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, որը նկարագրում է տվյալների թվային փոխանցման մեթոդը կարգավորիչների և լուսավորության սարքավորումների, ինչպես նաև լրացուցիչ սարքավորումների միջև: </w:t>
            </w:r>
          </w:p>
          <w:p w14:paraId="4EB07824" w14:textId="5CD986D9" w:rsidR="00A0369F" w:rsidRPr="00456493" w:rsidRDefault="00C27368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FineArt 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 ֆիրմայի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FineArt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FINE 1514 ZOOM մոդելը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,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 Ligting 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 Ligting ֆիրմայի 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 Ligting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8154B մոդելը,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ACME 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ACME ֆիրմայի 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ACME</w:t>
            </w:r>
            <w:r w:rsidR="00AC389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1514 ZOOM մոդելը</w:t>
            </w:r>
            <w:r w:rsidR="00AC3899" w:rsidRPr="00456493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FDECC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722148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25</w:t>
            </w:r>
          </w:p>
        </w:tc>
      </w:tr>
      <w:tr w:rsidR="00A0369F" w:rsidRPr="00456493" w14:paraId="7790D1E8" w14:textId="77777777" w:rsidTr="00D673D2">
        <w:trPr>
          <w:trHeight w:val="2059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FC6816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4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5EF94C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Լույսի աղբյուր՝ 400-600W LED մոդուլ, Օպտիկական ոսպնյակի տրամագիծը՝ առնվազն 140մմ, Մեծացման միջակայք՝ ներառյալ 6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>-50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, Գույնի ջերմաստիճանը՝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2700-6200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K, CMY անսահման գույների խառնուրդ, CTO գծային ճշգրտում 2700K-6200K (գծային կարգավորելի գունային ջերմաստիճան, որի մթնեցման գործընթացում փոփոխություն չկա), առնվազն 8 գունավոր զտիչներ + սպիտակ լույս, առնվազն 1 պտտվող գոբո անիվ 7 գոբոյով, երկկողմանի պտտման եղանակով, առնվազն 1 ֆիքսված գոբո անիվ 9 գոբոյով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: </w:t>
            </w:r>
            <w:r w:rsidRPr="00456493">
              <w:rPr>
                <w:rFonts w:ascii="GHEA Grapalat" w:hAnsi="GHEA Grapalat"/>
                <w:color w:val="000000" w:themeColor="text1"/>
              </w:rPr>
              <w:t>Ամբողջական ուղղորդված շրջանակային համակարգի 1 հավաքածու,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որն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աջակցում է առնվազն 180-360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 xml:space="preserve">0 </w:t>
            </w:r>
            <w:r w:rsidRPr="00456493">
              <w:rPr>
                <w:rFonts w:ascii="GHEA Grapalat" w:hAnsi="GHEA Grapalat"/>
                <w:color w:val="000000" w:themeColor="text1"/>
              </w:rPr>
              <w:t>ռոտացիայի: 1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երկկողմանի պտտվող 4-հատված պրիզմա, առնվազն 1 անկախ սառնամանիքի զտիչ,</w:t>
            </w:r>
          </w:p>
          <w:p w14:paraId="3F8ED152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Շրջանակ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ի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շարժումը ապահովում է առնվազն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0-</w:t>
            </w:r>
            <w:r w:rsidRPr="00456493">
              <w:rPr>
                <w:rFonts w:ascii="GHEA Grapalat" w:hAnsi="GHEA Grapalat"/>
                <w:color w:val="000000" w:themeColor="text1"/>
              </w:rPr>
              <w:t>540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պտույտ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հորիզոնական շրջադարձը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Pan-ը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456493">
              <w:rPr>
                <w:rFonts w:ascii="GHEA Grapalat" w:hAnsi="GHEA Grapalat"/>
                <w:color w:val="000000" w:themeColor="text1"/>
              </w:rPr>
              <w:t>360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) </w:t>
            </w:r>
            <w:r w:rsidRPr="00456493">
              <w:rPr>
                <w:rFonts w:ascii="GHEA Grapalat" w:hAnsi="GHEA Grapalat"/>
                <w:color w:val="000000" w:themeColor="text1"/>
              </w:rPr>
              <w:t>և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ուղղահայաց շրջադարձը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Tilt-ը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(</w:t>
            </w:r>
            <w:r w:rsidRPr="00456493">
              <w:rPr>
                <w:rFonts w:ascii="GHEA Grapalat" w:hAnsi="GHEA Grapalat"/>
                <w:color w:val="000000" w:themeColor="text1"/>
              </w:rPr>
              <w:t>540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</w:rPr>
              <w:t>, օգտագործում են ֆոտոէլեկտրական դիրքի վերակայման համակարգ, ավտոմատ սխալի ուղղում:</w:t>
            </w:r>
          </w:p>
          <w:p w14:paraId="6501023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Էլեկտրամատակարարում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ը`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100-240V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</w:rPr>
              <w:t xml:space="preserve">~,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50/60Hz,</w:t>
            </w:r>
          </w:p>
          <w:p w14:paraId="72BFDAF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</w:rPr>
              <w:t>Գնահատված հզորությունը՝ 800-1000w</w:t>
            </w:r>
          </w:p>
          <w:p w14:paraId="45410D47" w14:textId="3A89125F" w:rsidR="00A0369F" w:rsidRPr="00456493" w:rsidRDefault="00E44CF2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ֆիրմայի</w:t>
            </w:r>
            <w:r w:rsidR="00AC3899" w:rsidRPr="00456493">
              <w:rPr>
                <w:rFonts w:ascii="GHEA Grapalat" w:hAnsi="GHEA Grapalat" w:cs="Cambria Math"/>
                <w:color w:val="000000" w:themeColor="text1"/>
              </w:rPr>
              <w:t xml:space="preserve"> FineArt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600L BSWF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կամ համարժեք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ADJ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>ADJ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ֆիրմայի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 </w:t>
            </w:r>
            <w:r w:rsidR="00AC3899" w:rsidRPr="00456493">
              <w:rPr>
                <w:rFonts w:ascii="GHEA Grapalat" w:hAnsi="GHEA Grapalat" w:cs="Cambria Math"/>
                <w:color w:val="000000" w:themeColor="text1"/>
              </w:rPr>
              <w:t>ADJ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600L BSWF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մոդելը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,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Flation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>Flation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ֆրմայի </w:t>
            </w:r>
            <w:r w:rsidR="00AC3899" w:rsidRPr="00456493">
              <w:rPr>
                <w:rFonts w:ascii="GHEA Grapalat" w:hAnsi="GHEA Grapalat" w:cs="Cambria Math"/>
                <w:color w:val="000000" w:themeColor="text1"/>
              </w:rPr>
              <w:t>Flation</w:t>
            </w:r>
            <w:r w:rsidR="00AC389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600L BSWF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AC3899" w:rsidRPr="00456493">
              <w:rPr>
                <w:rFonts w:ascii="GHEA Grapalat" w:hAnsi="GHEA Grapalat"/>
                <w:color w:val="000000" w:themeColor="text1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A72FE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E5022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6</w:t>
            </w:r>
          </w:p>
        </w:tc>
      </w:tr>
      <w:tr w:rsidR="00A0369F" w:rsidRPr="00456493" w14:paraId="6130D4CD" w14:textId="77777777" w:rsidTr="00D673D2">
        <w:trPr>
          <w:trHeight w:val="1734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D1AA8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5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875FE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 xml:space="preserve">Լույսի աղբյուր՝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մ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իջին կյանքի տևողությունը՝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նախատեսված առնվազն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750 ժ, Ճառագայթի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բացված</w:t>
            </w:r>
            <w:r w:rsidRPr="00456493">
              <w:rPr>
                <w:rFonts w:ascii="GHEA Grapalat" w:hAnsi="GHEA Grapalat"/>
                <w:color w:val="000000" w:themeColor="text1"/>
              </w:rPr>
              <w:t>ք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ի </w:t>
            </w:r>
            <w:r w:rsidRPr="00456493">
              <w:rPr>
                <w:rFonts w:ascii="GHEA Grapalat" w:hAnsi="GHEA Grapalat"/>
                <w:color w:val="000000" w:themeColor="text1"/>
              </w:rPr>
              <w:t>անկյուն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ը</w:t>
            </w:r>
            <w:r w:rsidRPr="00456493">
              <w:rPr>
                <w:rFonts w:ascii="GHEA Grapalat" w:hAnsi="GHEA Grapalat"/>
                <w:color w:val="000000" w:themeColor="text1"/>
              </w:rPr>
              <w:t>՝ 5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>-18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</w:rPr>
              <w:t>, CRI`Ra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≥95, գույնի ջերմաստիճան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ի կառավարումը 2700-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6500K, CTO գծային գույնի ջերմաստիճանի կարգավորում </w:t>
            </w:r>
            <w:r w:rsidRPr="00456493">
              <w:rPr>
                <w:rFonts w:ascii="GHEA Grapalat" w:hAnsi="GHEA Grapalat"/>
                <w:color w:val="000000" w:themeColor="text1"/>
              </w:rPr>
              <w:t>(2700K-6500K),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0-100% գծային կարգավորում, Frost փափուկ լույսի էֆեկտ, Էլեկտրամատակարարում 200-240V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</w:rPr>
              <w:t xml:space="preserve">~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50/60Hz:</w:t>
            </w:r>
          </w:p>
          <w:p w14:paraId="2376BB2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 w:cs="Cambria Math"/>
                <w:color w:val="000000" w:themeColor="text1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</w:rPr>
              <w:t>Էլեկտրոնային բալաստ: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Մուտքի առավելագույն հզորությունը՝ 1600 Վտ:</w:t>
            </w:r>
          </w:p>
          <w:p w14:paraId="1CF643F3" w14:textId="7C17BDD8" w:rsidR="00A0369F" w:rsidRPr="00456493" w:rsidRDefault="00E44CF2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ֆիրմայի </w:t>
            </w:r>
            <w:r w:rsidR="00750FB9"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1400SF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կամ համարժեք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 Flation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արտադրողի Flation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ֆիրմայի </w:t>
            </w:r>
            <w:r w:rsidR="00750FB9" w:rsidRPr="00456493">
              <w:rPr>
                <w:rFonts w:ascii="GHEA Grapalat" w:hAnsi="GHEA Grapalat" w:cs="Cambria Math"/>
                <w:color w:val="000000" w:themeColor="text1"/>
              </w:rPr>
              <w:t>Flation</w:t>
            </w:r>
            <w:r w:rsidR="00750FB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1400SF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 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մոդելը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>,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 xml:space="preserve"> ADJ արտադրողի</w:t>
            </w:r>
            <w:r w:rsidR="00A0369F" w:rsidRPr="00456493">
              <w:rPr>
                <w:rFonts w:ascii="GHEA Grapalat" w:hAnsi="GHEA Grapalat" w:cs="Cambria Math"/>
                <w:color w:val="000000" w:themeColor="text1"/>
              </w:rPr>
              <w:t xml:space="preserve"> ADJ</w:t>
            </w:r>
            <w:r w:rsidR="00A0369F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ֆիրմայի </w:t>
            </w:r>
            <w:r w:rsidR="00750FB9" w:rsidRPr="00456493">
              <w:rPr>
                <w:rFonts w:ascii="GHEA Grapalat" w:hAnsi="GHEA Grapalat" w:cs="Cambria Math"/>
                <w:color w:val="000000" w:themeColor="text1"/>
              </w:rPr>
              <w:t>ADJ</w:t>
            </w:r>
            <w:r w:rsidR="00750FB9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1400SF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997C06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37B53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</w:t>
            </w:r>
          </w:p>
        </w:tc>
      </w:tr>
      <w:tr w:rsidR="00A0369F" w:rsidRPr="00456493" w14:paraId="56A56607" w14:textId="77777777" w:rsidTr="00D673D2">
        <w:trPr>
          <w:trHeight w:val="882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60AF0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6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27E20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Մուտք առնվազն 1 հիմնական ազդանշանի մուտք (2 մուտքային պորտ), հագեցած 3-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Pin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արական և իգական վարդակով, ելք՝ ազդանշանի ելքային առնվազն 8 պորտ, հագեցած 3-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Pin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վարդակով:</w:t>
            </w:r>
          </w:p>
          <w:p w14:paraId="7E18219A" w14:textId="709D13CD" w:rsidR="00A0369F" w:rsidRPr="00456493" w:rsidRDefault="00E44CF2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FineArt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FineArt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 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>FineArt</w:t>
            </w:r>
            <w:r w:rsidR="00750FB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2080 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կամ համարժեք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ETC 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ETC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ֆիրմայի 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 xml:space="preserve">ETC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2080 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կամ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 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="00750FB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2080 մոդելը</w:t>
            </w:r>
            <w:r w:rsidR="00750FB9" w:rsidRPr="00456493">
              <w:rPr>
                <w:rFonts w:ascii="GHEA Grapalat" w:hAnsi="GHEA Grapalat"/>
                <w:color w:val="000000" w:themeColor="text1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CE0E26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01B5B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6</w:t>
            </w:r>
          </w:p>
        </w:tc>
      </w:tr>
      <w:tr w:rsidR="00A0369F" w:rsidRPr="00456493" w14:paraId="13F2227D" w14:textId="77777777" w:rsidTr="00D673D2">
        <w:trPr>
          <w:trHeight w:val="1161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4802F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7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88DA3" w14:textId="77777777" w:rsidR="009E3A79" w:rsidRPr="00A21FD2" w:rsidRDefault="009E3A79" w:rsidP="009E3A79">
            <w:pPr>
              <w:spacing w:before="100" w:beforeAutospacing="1" w:after="100" w:afterAutospacing="1"/>
              <w:contextualSpacing/>
              <w:rPr>
                <w:rFonts w:ascii="GHEA Grapalat" w:eastAsia="Times New Roman" w:hAnsi="GHEA Grapalat" w:cs="Times New Roman"/>
                <w:color w:val="000000"/>
              </w:rPr>
            </w:pPr>
            <w:r w:rsidRPr="00A21FD2">
              <w:rPr>
                <w:rFonts w:ascii="GHEA Grapalat" w:eastAsia="Times New Roman" w:hAnsi="GHEA Grapalat" w:cs="Times New Roman"/>
                <w:color w:val="000000"/>
                <w:lang w:val="hy-AM"/>
              </w:rPr>
              <w:t>Ինտերֆեյսը`</w:t>
            </w:r>
            <w:r w:rsidRPr="00A21FD2">
              <w:rPr>
                <w:rFonts w:ascii="GHEA Grapalat" w:eastAsia="Times New Roman" w:hAnsi="GHEA Grapalat" w:cs="Times New Roman"/>
                <w:color w:val="000000"/>
              </w:rPr>
              <w:t xml:space="preserve"> լույսի կառավարման ծրագիր -</w:t>
            </w:r>
            <w:r w:rsidRPr="00A21FD2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 Art-Net, sACN կամ Kling-Net արձանագրությանը</w:t>
            </w:r>
            <w:r w:rsidRPr="00A21FD2">
              <w:rPr>
                <w:rFonts w:ascii="GHEA Grapalat" w:eastAsia="Times New Roman" w:hAnsi="GHEA Grapalat" w:cs="Times New Roman"/>
                <w:color w:val="000000"/>
              </w:rPr>
              <w:t xml:space="preserve"> </w:t>
            </w:r>
            <w:r w:rsidRPr="00A21FD2">
              <w:rPr>
                <w:rFonts w:ascii="GHEA Grapalat" w:eastAsia="Times New Roman" w:hAnsi="GHEA Grapalat" w:cs="Times New Roman"/>
                <w:color w:val="000000"/>
                <w:lang w:val="hy-AM"/>
              </w:rPr>
              <w:t>(протокол)</w:t>
            </w:r>
            <w:r>
              <w:rPr>
                <w:rFonts w:ascii="GHEA Grapalat" w:eastAsia="Times New Roman" w:hAnsi="GHEA Grapalat" w:cs="Times New Roman"/>
                <w:color w:val="000000"/>
              </w:rPr>
              <w:t xml:space="preserve">  համապատասխան</w:t>
            </w:r>
            <w:r w:rsidRPr="00A21FD2">
              <w:rPr>
                <w:rFonts w:ascii="GHEA Grapalat" w:eastAsia="Times New Roman" w:hAnsi="GHEA Grapalat" w:cs="Times New Roman"/>
                <w:color w:val="000000"/>
              </w:rPr>
              <w:t xml:space="preserve">, </w:t>
            </w:r>
            <w:r w:rsidRPr="00A21FD2">
              <w:rPr>
                <w:rFonts w:ascii="GHEA Grapalat" w:eastAsia="Times New Roman" w:hAnsi="GHEA Grapalat" w:cs="Times New Roman"/>
                <w:color w:val="000000"/>
                <w:lang w:val="hy-AM"/>
              </w:rPr>
              <w:t xml:space="preserve">տվյալների արագությունը առնվազն 1 ԳԲ/վ, առնվազն 8 DMX մուտք կամ ելք, </w:t>
            </w:r>
            <w:r w:rsidRPr="00A21FD2">
              <w:rPr>
                <w:rFonts w:ascii="GHEA Grapalat" w:eastAsia="Times New Roman" w:hAnsi="GHEA Grapalat" w:cs="Times New Roman"/>
                <w:color w:val="000000"/>
              </w:rPr>
              <w:t>վ</w:t>
            </w:r>
            <w:r w:rsidRPr="00A21FD2">
              <w:rPr>
                <w:rFonts w:ascii="GHEA Grapalat" w:eastAsia="Times New Roman" w:hAnsi="GHEA Grapalat" w:cs="Times New Roman"/>
                <w:color w:val="000000"/>
                <w:lang w:val="hy-AM"/>
              </w:rPr>
              <w:t>եբ բրաուզերի միացում</w:t>
            </w:r>
            <w:r w:rsidRPr="00A21FD2">
              <w:rPr>
                <w:rFonts w:ascii="GHEA Grapalat" w:eastAsia="Times New Roman" w:hAnsi="GHEA Grapalat" w:cs="Times New Roman"/>
                <w:color w:val="000000"/>
              </w:rPr>
              <w:t>:</w:t>
            </w:r>
          </w:p>
          <w:p w14:paraId="1E807080" w14:textId="477E6814" w:rsidR="00A0369F" w:rsidRPr="00456493" w:rsidRDefault="009E3A79" w:rsidP="009E3A79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</w:rPr>
            </w:pPr>
            <w:r w:rsidRPr="00A21FD2">
              <w:rPr>
                <w:rFonts w:ascii="GHEA Grapalat" w:eastAsia="Times New Roman" w:hAnsi="GHEA Grapalat" w:cs="Times New Roman"/>
                <w:lang w:val="hy-AM"/>
              </w:rPr>
              <w:t xml:space="preserve">Showtec </w:t>
            </w:r>
            <w:r w:rsidRPr="00A21FD2">
              <w:rPr>
                <w:rFonts w:ascii="GHEA Grapalat" w:eastAsia="Times New Roman" w:hAnsi="GHEA Grapalat" w:cs="Times New Roman"/>
              </w:rPr>
              <w:t xml:space="preserve">արտադրղի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Showtec ֆիրմայի Showtec Art-Net, Showtec sACN</w:t>
            </w:r>
            <w:r w:rsidRPr="00A21FD2">
              <w:rPr>
                <w:rFonts w:ascii="GHEA Grapalat" w:eastAsia="Times New Roman" w:hAnsi="GHEA Grapalat" w:cs="Times New Roman"/>
              </w:rPr>
              <w:t xml:space="preserve">,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Showtec Kling-Net</w:t>
            </w:r>
            <w:r>
              <w:rPr>
                <w:rFonts w:ascii="GHEA Grapalat" w:eastAsia="Times New Roman" w:hAnsi="GHEA Grapalat" w:cs="Times New Roman"/>
              </w:rPr>
              <w:t xml:space="preserve">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 xml:space="preserve"> ինտերֆեյսը կամ </w:t>
            </w:r>
            <w:r w:rsidRPr="00A21FD2">
              <w:rPr>
                <w:rFonts w:ascii="GHEA Grapalat" w:eastAsia="Times New Roman" w:hAnsi="GHEA Grapalat" w:cs="Times New Roman"/>
              </w:rPr>
              <w:t xml:space="preserve">համարժեքը համարվող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 xml:space="preserve">ETC </w:t>
            </w:r>
            <w:r w:rsidRPr="00A21FD2">
              <w:rPr>
                <w:rFonts w:ascii="GHEA Grapalat" w:eastAsia="Times New Roman" w:hAnsi="GHEA Grapalat" w:cs="Times New Roman"/>
              </w:rPr>
              <w:t xml:space="preserve">արտադրողի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ETC ֆիրմայի ETC Art-Net,</w:t>
            </w:r>
            <w:r w:rsidRPr="00A21FD2">
              <w:rPr>
                <w:rFonts w:ascii="GHEA Grapalat" w:eastAsia="Times New Roman" w:hAnsi="GHEA Grapalat" w:cs="Times New Roman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lang w:val="hy-AM"/>
              </w:rPr>
              <w:t>ETC sACN կամ ETC Kling-Net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 xml:space="preserve"> ինտերֆեյսը կամ </w:t>
            </w:r>
            <w:r w:rsidRPr="00A21FD2">
              <w:rPr>
                <w:rFonts w:ascii="GHEA Grapalat" w:eastAsia="Times New Roman" w:hAnsi="GHEA Grapalat" w:cs="Times New Roman"/>
              </w:rPr>
              <w:t xml:space="preserve">համարժեքը համարվող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EUROLITE</w:t>
            </w:r>
            <w:r w:rsidRPr="00A21FD2">
              <w:rPr>
                <w:rFonts w:ascii="GHEA Grapalat" w:eastAsia="Times New Roman" w:hAnsi="GHEA Grapalat" w:cs="Times New Roman"/>
              </w:rPr>
              <w:t xml:space="preserve"> արտադրողի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EUROLITE</w:t>
            </w:r>
            <w:r w:rsidRPr="00A21FD2">
              <w:rPr>
                <w:rFonts w:ascii="GHEA Grapalat" w:eastAsia="Times New Roman" w:hAnsi="GHEA Grapalat" w:cs="Times New Roman"/>
              </w:rPr>
              <w:t xml:space="preserve"> ֆիրմայի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 xml:space="preserve"> EUROLITE</w:t>
            </w:r>
            <w:r w:rsidRPr="00A21FD2">
              <w:rPr>
                <w:rFonts w:ascii="GHEA Grapalat" w:eastAsia="Times New Roman" w:hAnsi="GHEA Grapalat" w:cs="Times New Roman"/>
              </w:rPr>
              <w:t xml:space="preserve">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Art-Net,</w:t>
            </w:r>
            <w:r w:rsidRPr="00A21FD2">
              <w:rPr>
                <w:rFonts w:ascii="GHEA Grapalat" w:eastAsia="Times New Roman" w:hAnsi="GHEA Grapalat" w:cs="Times New Roman"/>
              </w:rPr>
              <w:t xml:space="preserve">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EUROLITE sACN կամ</w:t>
            </w:r>
            <w:r w:rsidRPr="00A21FD2">
              <w:rPr>
                <w:rFonts w:ascii="GHEA Grapalat" w:eastAsia="Times New Roman" w:hAnsi="GHEA Grapalat" w:cs="Times New Roman"/>
              </w:rPr>
              <w:t xml:space="preserve"> </w:t>
            </w:r>
            <w:r w:rsidRPr="00A21FD2">
              <w:rPr>
                <w:rFonts w:ascii="GHEA Grapalat" w:eastAsia="Times New Roman" w:hAnsi="GHEA Grapalat" w:cs="Times New Roman"/>
                <w:lang w:val="hy-AM"/>
              </w:rPr>
              <w:t>EUROLITE Kling-Net ինտերֆեյսը</w:t>
            </w:r>
            <w:r w:rsidRPr="00A21FD2">
              <w:rPr>
                <w:rFonts w:ascii="GHEA Grapalat" w:eastAsia="Times New Roman" w:hAnsi="GHEA Grapalat" w:cs="Times New Roman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68A90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2A4DA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</w:t>
            </w:r>
          </w:p>
        </w:tc>
      </w:tr>
      <w:tr w:rsidR="00A0369F" w:rsidRPr="00456493" w14:paraId="5D34D029" w14:textId="77777777" w:rsidTr="00D673D2">
        <w:trPr>
          <w:trHeight w:val="350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21E3E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8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22F7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Լույսի կառավարման վահանակ,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որն ապահովում է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առնվազն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2048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ուղիղ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ալիք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պետք է ունենա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առնվազն 15 լիովին շարժիչով ֆեյդեր նվագարկում, առնվազն 15 կոդավորիչի նվագարկումը RGB ցուցիչներով, 12 բազմաֆունկցիոնալ Macro/Execute/Playback ստեղներ, նվագարկումների RGB լուսավորություն,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կ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րկնակի ներկառուցված առնվազն 15 դյույմ </w:t>
            </w:r>
            <w:r w:rsidRPr="00456493">
              <w:rPr>
                <w:rFonts w:ascii="GHEA Grapalat" w:hAnsi="GHEA Grapalat"/>
                <w:color w:val="000000" w:themeColor="text1"/>
              </w:rPr>
              <w:lastRenderedPageBreak/>
              <w:t>Multi HD սենսորային էկրաններ, աջակցում է մինչև 8 սենսորային էկրան (առնվազն 5-ը հեռակառավարվող ցանցի միջոցով), կրկնակի շարժիչով 100մմ ֆեյդեր նվագարկում, որոնք համապատասխանում են թատրոնի համար, ներկառուցված MagicVis Visualiser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ծրագրով</w:t>
            </w:r>
            <w:r w:rsidRPr="00456493">
              <w:rPr>
                <w:rFonts w:ascii="GHEA Grapalat" w:hAnsi="GHEA Grapalat"/>
                <w:color w:val="000000" w:themeColor="text1"/>
              </w:rPr>
              <w:t>` ճառագայթների և գոբոների ամբողջական մատուցմամբ:</w:t>
            </w:r>
          </w:p>
          <w:p w14:paraId="165330A3" w14:textId="73ABF997" w:rsidR="00A0369F" w:rsidRPr="00456493" w:rsidRDefault="00106559" w:rsidP="00EA0A13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 xml:space="preserve">Chamsys 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Chamsys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ֆիրմայի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 xml:space="preserve"> Chamsys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MagicQ Stadium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կամ համարժեք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ETC GIO 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ETC GIO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ֆիրմայի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 xml:space="preserve"> ETC GIO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4 K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MARTIN արտադրողի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MARTIN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 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>MARTIN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M6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մոդելը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>:</w:t>
            </w:r>
          </w:p>
        </w:tc>
        <w:tc>
          <w:tcPr>
            <w:tcW w:w="710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7D996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lastRenderedPageBreak/>
              <w:t>հատ</w:t>
            </w:r>
          </w:p>
        </w:tc>
        <w:tc>
          <w:tcPr>
            <w:tcW w:w="78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7218F9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</w:t>
            </w:r>
          </w:p>
        </w:tc>
      </w:tr>
      <w:tr w:rsidR="00A0369F" w:rsidRPr="00456493" w14:paraId="07244B5A" w14:textId="77777777" w:rsidTr="00D673D2">
        <w:trPr>
          <w:trHeight w:val="622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22AE94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hy-AM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9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903D02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Մառախուղ առաջացնող սարք, 05-100 մլ/րոպե ծախս +- 10%, որն ապահովու է իրական մառախուղի էֆեկտ: Էլեկտրամատակարարումը 200-240V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  <w:lang w:val="hy-AM"/>
              </w:rPr>
              <w:t xml:space="preserve">~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50/60Hz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հոսանքի հզորությունը 2000-3500Վտ,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DMX512 կառավարմամբ,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(սա այն ստանդարտն է, որը նկարագրում է տվյալների թվային փոխանցման մեթոդը կարգավորիչների և լուսավորության սարքավորումների, ինչպես նաև լրացուցիչ սարքավորումների միջև):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Վաճառողը տրամադրում է նաև սարքի համար համապատասխան հեղուկ՝ 40լ, առավելագույնը 5 լ-անոց տարաներով: Հատուկ կազմված մառախուղային հեղուկ՝ ոչ թունավոր լուծույթ, որն առաջացնում է մաքուր, կիսաթափանցիկ մշուշ՝ երկար կախվածության ժամանակով և ցածր խոնավության պարունակությամբ: Անգույն, առանց հոտի և ոչ դյուրավառ:</w:t>
            </w:r>
          </w:p>
          <w:p w14:paraId="4B020B73" w14:textId="288A672E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Սարքը պետք լինի՝ </w:t>
            </w:r>
            <w:r w:rsidR="005F0316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Antari Hazer արտադրողի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Antari Hazer ֆիրմայի 350 մոդելը կամ համարժեք </w:t>
            </w:r>
            <w:r w:rsidR="005F0316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Showtec արտադրողի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Showtec ֆիրմայի Dagon 2000 մոդելը, </w:t>
            </w:r>
            <w:r w:rsidR="005F0316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EURO DJ արտադրողի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EURO DJ ֆիրմայի</w:t>
            </w:r>
            <w:r w:rsidR="005F0316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500 HAZER մոդելը</w:t>
            </w:r>
            <w:r w:rsidR="00EB2446" w:rsidRPr="00456493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7E061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5BC1C2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lang w:val="hy-AM"/>
              </w:rPr>
            </w:pPr>
            <w:r w:rsidRPr="00456493">
              <w:rPr>
                <w:rFonts w:ascii="GHEA Grapalat" w:hAnsi="GHEA Grapalat"/>
              </w:rPr>
              <w:t>2</w:t>
            </w:r>
          </w:p>
          <w:p w14:paraId="1C912424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lang w:val="hy-AM"/>
              </w:rPr>
            </w:pPr>
          </w:p>
        </w:tc>
      </w:tr>
      <w:tr w:rsidR="00A0369F" w:rsidRPr="00456493" w14:paraId="2AA54199" w14:textId="77777777" w:rsidTr="00D673D2">
        <w:trPr>
          <w:trHeight w:val="928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6B801C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10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1E5F6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 w:cs="Calibri"/>
                <w:color w:val="000000" w:themeColor="text1"/>
                <w:sz w:val="24"/>
                <w:szCs w:val="24"/>
                <w:lang w:val="hy-AM"/>
              </w:rPr>
              <w:t>Լուսային</w:t>
            </w:r>
            <w:r w:rsidRPr="00456493">
              <w:rPr>
                <w:rFonts w:ascii="GHEA Grapalat" w:hAnsi="GHEA Grapalat" w:cs="Calibri"/>
                <w:color w:val="000000" w:themeColor="text1"/>
                <w:sz w:val="24"/>
                <w:szCs w:val="24"/>
              </w:rPr>
              <w:t xml:space="preserve"> ազդանաշանի մալուխների միակցիչ 3 ոտքով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XLR 3P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վահանակի և լուսատու սարքերի մի</w:t>
            </w:r>
            <w:r w:rsidRPr="00456493">
              <w:rPr>
                <w:rFonts w:ascii="GHEA Grapalat" w:hAnsi="GHEA Grapalat"/>
                <w:color w:val="000000" w:themeColor="text1"/>
              </w:rPr>
              <w:t>ա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ցման համար կոնեկտոր </w:t>
            </w:r>
            <w:r w:rsidRPr="00456493">
              <w:rPr>
                <w:rFonts w:ascii="GHEA Grapalat" w:hAnsi="GHEA Grapalat"/>
                <w:color w:val="000000" w:themeColor="text1"/>
              </w:rPr>
              <w:t>(connector) Male- color black</w:t>
            </w:r>
          </w:p>
          <w:p w14:paraId="693FCDB5" w14:textId="78AEEE72" w:rsidR="00A0369F" w:rsidRPr="00456493" w:rsidRDefault="005F0316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sz w:val="18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Neutrik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Neutrik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 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>Neutrik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XLR 3P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կամ համարժեք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Proel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Proel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 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>Proel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XLR3PVPRO մոդելը,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>Hicon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val="hy-AM"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 xml:space="preserve">արտադրողի 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>Hicon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val="hy-AM" w:eastAsia="ru-RU"/>
              </w:rPr>
              <w:t xml:space="preserve"> ֆրմայի</w:t>
            </w:r>
            <w:r w:rsidR="00EA0A13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 xml:space="preserve"> Hicon</w:t>
            </w:r>
            <w:r w:rsidR="00EA0A13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val="hy-AM" w:eastAsia="ru-RU"/>
              </w:rPr>
              <w:t xml:space="preserve"> 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>HIX3CF-G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val="hy-AM" w:eastAsia="ru-RU"/>
              </w:rPr>
              <w:t xml:space="preserve"> մոդել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szCs w:val="24"/>
                <w:lang w:eastAsia="ru-RU"/>
              </w:rPr>
              <w:t>ը</w:t>
            </w:r>
            <w:r w:rsidR="00A0369F" w:rsidRPr="00456493">
              <w:rPr>
                <w:rFonts w:ascii="GHEA Grapalat" w:hAnsi="GHEA Grapalat" w:cs="Calibri"/>
                <w:color w:val="000000" w:themeColor="text1"/>
                <w:szCs w:val="24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C39549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42E704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A0369F" w:rsidRPr="00456493" w14:paraId="4F81B269" w14:textId="77777777" w:rsidTr="00D673D2">
        <w:trPr>
          <w:trHeight w:val="928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D24674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11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E588A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 xml:space="preserve">XLR 3P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վահանակի և լուսատու սարքերի միցման համար կոնեկտոր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 (connector) Female- color black</w:t>
            </w:r>
          </w:p>
          <w:p w14:paraId="29B7AD68" w14:textId="2D5B6FA5" w:rsidR="00A0369F" w:rsidRPr="00456493" w:rsidRDefault="005F0316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Neutrik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Neutrik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 xml:space="preserve"> Neutrik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XLR 3P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մոդելը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կամ համարժեք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Proel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 xml:space="preserve">արտադրողի </w:t>
            </w:r>
            <w:r w:rsidR="00A0369F" w:rsidRPr="00456493">
              <w:rPr>
                <w:rFonts w:ascii="GHEA Grapalat" w:hAnsi="GHEA Grapalat"/>
                <w:color w:val="000000" w:themeColor="text1"/>
              </w:rPr>
              <w:t>Proel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ֆիրմայի</w:t>
            </w:r>
            <w:r w:rsidR="00EA0A13" w:rsidRPr="00456493">
              <w:rPr>
                <w:rFonts w:ascii="GHEA Grapalat" w:hAnsi="GHEA Grapalat"/>
                <w:color w:val="000000" w:themeColor="text1"/>
              </w:rPr>
              <w:t xml:space="preserve"> Proel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XLR3MVPRO մոդելը,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 xml:space="preserve"> 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 xml:space="preserve">Hicon արտադրողի </w:t>
            </w:r>
            <w:r w:rsidR="00A0369F" w:rsidRPr="00456493">
              <w:rPr>
                <w:rFonts w:ascii="GHEA Grapalat" w:hAnsi="GHEA Grapalat" w:cs="Calibri"/>
                <w:color w:val="000000" w:themeColor="text1"/>
              </w:rPr>
              <w:t>Hicon</w:t>
            </w:r>
            <w:r w:rsidR="00A0369F" w:rsidRPr="00456493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ֆիրմայի</w:t>
            </w:r>
            <w:r w:rsidR="00EA0A13" w:rsidRPr="00456493">
              <w:rPr>
                <w:rFonts w:ascii="GHEA Grapalat" w:hAnsi="GHEA Grapalat" w:cs="Calibri"/>
                <w:color w:val="000000" w:themeColor="text1"/>
              </w:rPr>
              <w:t xml:space="preserve"> Hicon</w:t>
            </w:r>
            <w:r w:rsidR="00EA0A13" w:rsidRPr="00456493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</w:t>
            </w:r>
            <w:r w:rsidR="00A0369F" w:rsidRPr="00456493">
              <w:rPr>
                <w:rFonts w:ascii="GHEA Grapalat" w:hAnsi="GHEA Grapalat" w:cs="Calibri"/>
                <w:color w:val="000000" w:themeColor="text1"/>
              </w:rPr>
              <w:t>HI-X3CM-HD-B</w:t>
            </w:r>
            <w:r w:rsidR="00A0369F" w:rsidRPr="00456493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մոդել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>ը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684409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AF3B46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A0369F" w:rsidRPr="00456493" w14:paraId="75F58C0D" w14:textId="77777777" w:rsidTr="00D673D2">
        <w:trPr>
          <w:trHeight w:val="913"/>
        </w:trPr>
        <w:tc>
          <w:tcPr>
            <w:tcW w:w="5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A6590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lang w:val="ru-RU"/>
              </w:rPr>
              <w:br w:type="page"/>
            </w: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2</w:t>
            </w:r>
          </w:p>
        </w:tc>
        <w:tc>
          <w:tcPr>
            <w:tcW w:w="12213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B18D06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5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վահանակի և լուսատու սարքերի միցման համար կոնեկտոր </w:t>
            </w:r>
            <w:r w:rsidRPr="00456493">
              <w:rPr>
                <w:rFonts w:ascii="GHEA Grapalat" w:hAnsi="GHEA Grapalat"/>
                <w:color w:val="000000" w:themeColor="text1"/>
              </w:rPr>
              <w:t>connector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Male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- </w:t>
            </w:r>
            <w:r w:rsidRPr="00456493">
              <w:rPr>
                <w:rFonts w:ascii="GHEA Grapalat" w:hAnsi="GHEA Grapalat"/>
                <w:color w:val="000000" w:themeColor="text1"/>
              </w:rPr>
              <w:t>color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black</w:t>
            </w:r>
          </w:p>
          <w:p w14:paraId="037BFD38" w14:textId="257955C0" w:rsidR="00A0369F" w:rsidRPr="00456493" w:rsidRDefault="005F0316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Neutrik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Neutrik Ֆիրմայի 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Neutrik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 3P 5P մոդելը կամ համարժեք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ֆիրմայի </w:t>
            </w:r>
            <w:r w:rsidR="00EA0A13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XLR5PVPRO մոդելը,</w:t>
            </w:r>
            <w:r w:rsidR="00EA0A13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արտադրողի </w:t>
            </w:r>
            <w:r w:rsidR="00EA0A13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ֆիրմայի Seetronic 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SCS M5 մոդելը</w:t>
            </w:r>
            <w:r w:rsidR="00EA0A13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:</w:t>
            </w:r>
          </w:p>
        </w:tc>
        <w:tc>
          <w:tcPr>
            <w:tcW w:w="71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ADFF3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25ECA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50</w:t>
            </w:r>
          </w:p>
        </w:tc>
      </w:tr>
      <w:tr w:rsidR="00A0369F" w:rsidRPr="00456493" w14:paraId="4CBB49E4" w14:textId="77777777" w:rsidTr="00D673D2">
        <w:trPr>
          <w:trHeight w:val="92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0ABB7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3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C5CD77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XLR 5P connector Female- color black</w:t>
            </w:r>
          </w:p>
          <w:p w14:paraId="05685242" w14:textId="36AD432D" w:rsidR="00A0369F" w:rsidRPr="00456493" w:rsidRDefault="005F0316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Neutrik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Neutrik Ֆիրմայի</w:t>
            </w:r>
            <w:r w:rsidR="00D73C1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Neutrik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XLR 3P մոդելը կամ համարժեք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ֆիրմայի </w:t>
            </w:r>
            <w:r w:rsidR="00D73C1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XLR5MVPRO մոդելը</w:t>
            </w:r>
            <w:r w:rsidR="00D73C10" w:rsidRPr="00456493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արտադրողի </w:t>
            </w:r>
            <w:r w:rsidR="00D73C1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ֆիրմայի Seetronic </w:t>
            </w:r>
            <w:r w:rsidR="00A0369F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SCS F5 մոդելը</w:t>
            </w:r>
            <w:r w:rsidR="00D73C1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28638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7FED3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50</w:t>
            </w:r>
          </w:p>
        </w:tc>
      </w:tr>
      <w:tr w:rsidR="00A0369F" w:rsidRPr="00456493" w14:paraId="7D0FA182" w14:textId="77777777" w:rsidTr="00D673D2">
        <w:trPr>
          <w:trHeight w:val="27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0E888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4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9918BB" w14:textId="78703583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Էլեկտրական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մալուխի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վարդակ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4 </w:t>
            </w:r>
            <w:r w:rsidRPr="00456493">
              <w:rPr>
                <w:rFonts w:ascii="GHEA Grapalat" w:hAnsi="GHEA Grapalat"/>
                <w:color w:val="000000" w:themeColor="text1"/>
              </w:rPr>
              <w:t>տեղանոց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</w:rPr>
              <w:t>գույնը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սև</w:t>
            </w:r>
            <w:r w:rsidR="0094749D" w:rsidRPr="00456493">
              <w:rPr>
                <w:rFonts w:ascii="GHEA Grapalat" w:hAnsi="GHEA Grapalat"/>
                <w:color w:val="000000" w:themeColor="text1"/>
                <w:lang w:val="ru-RU"/>
              </w:rPr>
              <w:t>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56AEC7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7BD10C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A0369F" w:rsidRPr="00456493" w14:paraId="1C22EA8E" w14:textId="77777777" w:rsidTr="00D673D2">
        <w:trPr>
          <w:trHeight w:val="293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B3E47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5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51C81C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Էլեկտրական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մալուխի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խրոցակ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- </w:t>
            </w:r>
            <w:r w:rsidRPr="00456493">
              <w:rPr>
                <w:rFonts w:ascii="GHEA Grapalat" w:hAnsi="GHEA Grapalat"/>
                <w:color w:val="000000" w:themeColor="text1"/>
              </w:rPr>
              <w:t>գույնը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սև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76AA33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հատ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6C19B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A0369F" w:rsidRPr="00456493" w14:paraId="2726DA06" w14:textId="77777777" w:rsidTr="00D673D2">
        <w:trPr>
          <w:trHeight w:val="27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8D0D1A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6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3C44C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Էլ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մալուխ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3 </w:t>
            </w:r>
            <w:r w:rsidRPr="00456493">
              <w:rPr>
                <w:rFonts w:ascii="GHEA Grapalat" w:hAnsi="GHEA Grapalat"/>
                <w:color w:val="000000" w:themeColor="text1"/>
              </w:rPr>
              <w:t>անգամ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2,5 </w:t>
            </w:r>
            <w:r w:rsidRPr="00456493">
              <w:rPr>
                <w:rFonts w:ascii="GHEA Grapalat" w:hAnsi="GHEA Grapalat"/>
                <w:color w:val="000000" w:themeColor="text1"/>
              </w:rPr>
              <w:t>մմ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TITANEX որակի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28930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մետր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E9DCF4F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2000</w:t>
            </w:r>
          </w:p>
        </w:tc>
      </w:tr>
      <w:tr w:rsidR="00A0369F" w:rsidRPr="00456493" w14:paraId="36E60D1B" w14:textId="77777777" w:rsidTr="00D673D2">
        <w:trPr>
          <w:trHeight w:val="5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86E73B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7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18E1D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DMX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մալուխ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- 0,22</w:t>
            </w:r>
            <w:r w:rsidRPr="00456493">
              <w:rPr>
                <w:rFonts w:ascii="GHEA Grapalat" w:hAnsi="GHEA Grapalat"/>
                <w:color w:val="000000" w:themeColor="text1"/>
              </w:rPr>
              <w:t>մմ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</w:p>
          <w:p w14:paraId="5B95B38B" w14:textId="6AF7237F" w:rsidR="00A0369F" w:rsidRPr="00456493" w:rsidRDefault="0094749D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Cordial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Cordial ֆիրմայի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Cordial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DMX մալուխը-110օմ կամ համարժեք Proel ֆիրմայի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DMXD մոդելը,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AuraSonics արտադրողի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AuraSonics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ֆ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AuraSonics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DMX512 մոդելը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>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15C08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</w:rPr>
            </w:pPr>
            <w:r w:rsidRPr="00456493">
              <w:rPr>
                <w:rFonts w:ascii="GHEA Grapalat" w:eastAsia="Sylfaen" w:hAnsi="GHEA Grapalat" w:cs="Sylfaen"/>
                <w:sz w:val="18"/>
              </w:rPr>
              <w:t>մետր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86C2A4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3000</w:t>
            </w:r>
          </w:p>
        </w:tc>
      </w:tr>
      <w:tr w:rsidR="00A0369F" w:rsidRPr="00456493" w14:paraId="3976A533" w14:textId="77777777" w:rsidTr="00D673D2">
        <w:trPr>
          <w:trHeight w:val="86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91A4A5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1</w:t>
            </w: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8</w:t>
            </w:r>
          </w:p>
        </w:tc>
        <w:tc>
          <w:tcPr>
            <w:tcW w:w="1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660DA2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Ցանցի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մալուխ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</w:rPr>
              <w:t>CAT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6</w:t>
            </w:r>
          </w:p>
          <w:p w14:paraId="1E25C277" w14:textId="52A5D009" w:rsidR="00A0369F" w:rsidRPr="00456493" w:rsidRDefault="0094749D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Recber </w:t>
            </w:r>
            <w:r w:rsidRPr="00456493">
              <w:rPr>
                <w:rFonts w:ascii="GHEA Grapalat" w:hAnsi="GHEA Grapalat"/>
                <w:color w:val="000000" w:themeColor="text1"/>
              </w:rPr>
              <w:t>արտադրողի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Recber ֆիրմայի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Recber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CAT6 FTP Indoor մոդելը կամ համարժեք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Gembird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արտադրողի</w:t>
            </w:r>
            <w:r w:rsidR="00A0369F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Gembird ֆիրմայի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Gembird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CAT6 FTP CU Indor մոդելը,</w:t>
            </w:r>
            <w:r w:rsidR="00A0369F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Panduit </w:t>
            </w:r>
            <w:r w:rsidRPr="00456493">
              <w:rPr>
                <w:rFonts w:ascii="GHEA Grapalat" w:hAnsi="GHEA Grapalat"/>
                <w:color w:val="000000" w:themeColor="text1"/>
              </w:rPr>
              <w:t>արտադրողի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Panduit ֆիրմայի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Panduit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NUZ6C04BU-KE NETKEY-U/UTP CAT6 LSZH 24AWG INDOOR LAN CABLE,</w:t>
            </w:r>
            <w:r w:rsidR="002C5FF2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2C5FF2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Panduit </w:t>
            </w:r>
            <w:r w:rsidR="00A0369F" w:rsidRPr="00456493">
              <w:rPr>
                <w:rFonts w:ascii="GHEA Grapalat" w:hAnsi="GHEA Grapalat"/>
                <w:color w:val="000000" w:themeColor="text1"/>
                <w:lang w:val="hy-AM"/>
              </w:rPr>
              <w:t>CU մոդելը</w:t>
            </w:r>
            <w:r w:rsidR="002C5FF2" w:rsidRPr="00456493">
              <w:rPr>
                <w:rFonts w:ascii="GHEA Grapalat" w:hAnsi="GHEA Grapalat"/>
                <w:color w:val="000000" w:themeColor="text1"/>
                <w:lang w:val="ru-RU"/>
              </w:rPr>
              <w:t>: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A21511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eastAsia="Sylfaen" w:hAnsi="GHEA Grapalat" w:cs="Sylfaen"/>
                <w:sz w:val="18"/>
                <w:lang w:val="hy-AM"/>
              </w:rPr>
            </w:pPr>
            <w:r w:rsidRPr="00456493">
              <w:rPr>
                <w:rFonts w:ascii="GHEA Grapalat" w:eastAsia="Sylfaen" w:hAnsi="GHEA Grapalat" w:cs="Sylfaen"/>
                <w:sz w:val="18"/>
                <w:lang w:val="hy-AM"/>
              </w:rPr>
              <w:t>մետր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0EEBBE" w14:textId="77777777" w:rsidR="00A0369F" w:rsidRPr="00456493" w:rsidRDefault="00A0369F" w:rsidP="00763221">
            <w:pPr>
              <w:spacing w:before="100" w:beforeAutospacing="1" w:after="100" w:afterAutospacing="1" w:line="240" w:lineRule="auto"/>
              <w:contextualSpacing/>
              <w:rPr>
                <w:rFonts w:ascii="GHEA Grapalat" w:hAnsi="GHEA Grapalat"/>
                <w:lang w:val="hy-AM"/>
              </w:rPr>
            </w:pPr>
            <w:r w:rsidRPr="00456493">
              <w:rPr>
                <w:rFonts w:ascii="GHEA Grapalat" w:hAnsi="GHEA Grapalat"/>
                <w:lang w:val="hy-AM"/>
              </w:rPr>
              <w:t>200</w:t>
            </w:r>
          </w:p>
        </w:tc>
      </w:tr>
    </w:tbl>
    <w:p w14:paraId="51190BD1" w14:textId="77777777" w:rsidR="00B6137D" w:rsidRPr="00284C6B" w:rsidRDefault="00B6137D" w:rsidP="00DE3543">
      <w:pPr>
        <w:rPr>
          <w:rFonts w:ascii="GHEA Grapalat" w:eastAsia="GHEA Grapalat" w:hAnsi="GHEA Grapalat" w:cs="Sylfaen"/>
          <w:b/>
          <w:sz w:val="24"/>
          <w:szCs w:val="24"/>
          <w:lang w:val="hy-AM"/>
        </w:rPr>
      </w:pPr>
    </w:p>
    <w:sectPr w:rsidR="00B6137D" w:rsidRPr="00284C6B" w:rsidSect="00284C6B">
      <w:pgSz w:w="15840" w:h="12240" w:orient="landscape"/>
      <w:pgMar w:top="709" w:right="81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F2"/>
    <w:rsid w:val="00007D83"/>
    <w:rsid w:val="0001728D"/>
    <w:rsid w:val="0002086D"/>
    <w:rsid w:val="00021D21"/>
    <w:rsid w:val="000254C3"/>
    <w:rsid w:val="0003183B"/>
    <w:rsid w:val="00031DB1"/>
    <w:rsid w:val="00041823"/>
    <w:rsid w:val="0005292F"/>
    <w:rsid w:val="00055E53"/>
    <w:rsid w:val="000576A4"/>
    <w:rsid w:val="00063FFF"/>
    <w:rsid w:val="00077072"/>
    <w:rsid w:val="00091455"/>
    <w:rsid w:val="000A7059"/>
    <w:rsid w:val="000F2E48"/>
    <w:rsid w:val="00103E8D"/>
    <w:rsid w:val="00106559"/>
    <w:rsid w:val="00120D7F"/>
    <w:rsid w:val="00121058"/>
    <w:rsid w:val="00154FA8"/>
    <w:rsid w:val="00155AE3"/>
    <w:rsid w:val="00161801"/>
    <w:rsid w:val="00187327"/>
    <w:rsid w:val="0019069C"/>
    <w:rsid w:val="001B42BB"/>
    <w:rsid w:val="001B4D60"/>
    <w:rsid w:val="001E206B"/>
    <w:rsid w:val="001F4D52"/>
    <w:rsid w:val="002261B4"/>
    <w:rsid w:val="00233B54"/>
    <w:rsid w:val="00234BF8"/>
    <w:rsid w:val="00247E6E"/>
    <w:rsid w:val="00284C6B"/>
    <w:rsid w:val="00291063"/>
    <w:rsid w:val="002A0658"/>
    <w:rsid w:val="002A3B5C"/>
    <w:rsid w:val="002C5FF2"/>
    <w:rsid w:val="00301CBB"/>
    <w:rsid w:val="003238DB"/>
    <w:rsid w:val="003252B9"/>
    <w:rsid w:val="00352A6A"/>
    <w:rsid w:val="00365264"/>
    <w:rsid w:val="00370DFE"/>
    <w:rsid w:val="00376B3D"/>
    <w:rsid w:val="00387544"/>
    <w:rsid w:val="003A313A"/>
    <w:rsid w:val="003A5F3B"/>
    <w:rsid w:val="003B4E48"/>
    <w:rsid w:val="003D625A"/>
    <w:rsid w:val="003F05B1"/>
    <w:rsid w:val="003F7CF9"/>
    <w:rsid w:val="00405B85"/>
    <w:rsid w:val="00414248"/>
    <w:rsid w:val="004455B2"/>
    <w:rsid w:val="004474F4"/>
    <w:rsid w:val="00456493"/>
    <w:rsid w:val="00462579"/>
    <w:rsid w:val="00473B3F"/>
    <w:rsid w:val="004A494C"/>
    <w:rsid w:val="004B7046"/>
    <w:rsid w:val="004D0FF6"/>
    <w:rsid w:val="004D3B19"/>
    <w:rsid w:val="00515EE4"/>
    <w:rsid w:val="0052078B"/>
    <w:rsid w:val="0055658B"/>
    <w:rsid w:val="00561CF9"/>
    <w:rsid w:val="00567995"/>
    <w:rsid w:val="00570BEF"/>
    <w:rsid w:val="00576A0C"/>
    <w:rsid w:val="005E693C"/>
    <w:rsid w:val="005E7FA3"/>
    <w:rsid w:val="005F0316"/>
    <w:rsid w:val="005F3628"/>
    <w:rsid w:val="0060059E"/>
    <w:rsid w:val="00624FBF"/>
    <w:rsid w:val="00625925"/>
    <w:rsid w:val="006478E1"/>
    <w:rsid w:val="0065629D"/>
    <w:rsid w:val="00676352"/>
    <w:rsid w:val="00680D92"/>
    <w:rsid w:val="0068216C"/>
    <w:rsid w:val="006863C8"/>
    <w:rsid w:val="00690860"/>
    <w:rsid w:val="00691397"/>
    <w:rsid w:val="006A3A52"/>
    <w:rsid w:val="006D0A10"/>
    <w:rsid w:val="006D3B8C"/>
    <w:rsid w:val="006D7D41"/>
    <w:rsid w:val="006F1AF9"/>
    <w:rsid w:val="0070114E"/>
    <w:rsid w:val="00707DEB"/>
    <w:rsid w:val="007120D6"/>
    <w:rsid w:val="007122B8"/>
    <w:rsid w:val="00743630"/>
    <w:rsid w:val="007441E0"/>
    <w:rsid w:val="00745329"/>
    <w:rsid w:val="00750FB9"/>
    <w:rsid w:val="00763221"/>
    <w:rsid w:val="00771744"/>
    <w:rsid w:val="00784193"/>
    <w:rsid w:val="007A0944"/>
    <w:rsid w:val="007A4C09"/>
    <w:rsid w:val="007B57B0"/>
    <w:rsid w:val="007C38AE"/>
    <w:rsid w:val="007F7F59"/>
    <w:rsid w:val="00812C34"/>
    <w:rsid w:val="0082015B"/>
    <w:rsid w:val="00827254"/>
    <w:rsid w:val="00831D27"/>
    <w:rsid w:val="00837731"/>
    <w:rsid w:val="00837CA9"/>
    <w:rsid w:val="00866246"/>
    <w:rsid w:val="00867885"/>
    <w:rsid w:val="00870057"/>
    <w:rsid w:val="00872C9B"/>
    <w:rsid w:val="00883385"/>
    <w:rsid w:val="008853F9"/>
    <w:rsid w:val="008A5E96"/>
    <w:rsid w:val="008B70E2"/>
    <w:rsid w:val="008C02CF"/>
    <w:rsid w:val="008C30CF"/>
    <w:rsid w:val="008C3B35"/>
    <w:rsid w:val="008F1AAF"/>
    <w:rsid w:val="008F36D2"/>
    <w:rsid w:val="008F71EF"/>
    <w:rsid w:val="008F754F"/>
    <w:rsid w:val="009263B7"/>
    <w:rsid w:val="00942F39"/>
    <w:rsid w:val="0094749D"/>
    <w:rsid w:val="009568E1"/>
    <w:rsid w:val="00973EFE"/>
    <w:rsid w:val="009800D7"/>
    <w:rsid w:val="00992855"/>
    <w:rsid w:val="009B5F96"/>
    <w:rsid w:val="009C2872"/>
    <w:rsid w:val="009D269D"/>
    <w:rsid w:val="009E3A79"/>
    <w:rsid w:val="009F46AD"/>
    <w:rsid w:val="00A0369F"/>
    <w:rsid w:val="00A069BD"/>
    <w:rsid w:val="00A17095"/>
    <w:rsid w:val="00A203F5"/>
    <w:rsid w:val="00A20713"/>
    <w:rsid w:val="00A335DE"/>
    <w:rsid w:val="00A53190"/>
    <w:rsid w:val="00A85A5C"/>
    <w:rsid w:val="00A90E13"/>
    <w:rsid w:val="00AC3899"/>
    <w:rsid w:val="00AC3D80"/>
    <w:rsid w:val="00AC5327"/>
    <w:rsid w:val="00AD2C3F"/>
    <w:rsid w:val="00AD65D1"/>
    <w:rsid w:val="00AE309E"/>
    <w:rsid w:val="00AE5E7E"/>
    <w:rsid w:val="00AE6C41"/>
    <w:rsid w:val="00AF4F21"/>
    <w:rsid w:val="00B3381B"/>
    <w:rsid w:val="00B36922"/>
    <w:rsid w:val="00B45014"/>
    <w:rsid w:val="00B6137D"/>
    <w:rsid w:val="00B61989"/>
    <w:rsid w:val="00B63BA3"/>
    <w:rsid w:val="00B650E2"/>
    <w:rsid w:val="00B82A41"/>
    <w:rsid w:val="00B84AA8"/>
    <w:rsid w:val="00B9582A"/>
    <w:rsid w:val="00B96E99"/>
    <w:rsid w:val="00BA78F3"/>
    <w:rsid w:val="00BB0890"/>
    <w:rsid w:val="00BB346A"/>
    <w:rsid w:val="00BB7546"/>
    <w:rsid w:val="00BC0597"/>
    <w:rsid w:val="00BD0D45"/>
    <w:rsid w:val="00BD6A52"/>
    <w:rsid w:val="00BE7B09"/>
    <w:rsid w:val="00C008CE"/>
    <w:rsid w:val="00C0554E"/>
    <w:rsid w:val="00C27368"/>
    <w:rsid w:val="00C27B19"/>
    <w:rsid w:val="00C32653"/>
    <w:rsid w:val="00C326F7"/>
    <w:rsid w:val="00C32AF0"/>
    <w:rsid w:val="00C43BE4"/>
    <w:rsid w:val="00C54A46"/>
    <w:rsid w:val="00C61581"/>
    <w:rsid w:val="00C8102C"/>
    <w:rsid w:val="00C904D3"/>
    <w:rsid w:val="00C91DAF"/>
    <w:rsid w:val="00CA0BC3"/>
    <w:rsid w:val="00CB0076"/>
    <w:rsid w:val="00CD1BF2"/>
    <w:rsid w:val="00CD40F5"/>
    <w:rsid w:val="00CD76A2"/>
    <w:rsid w:val="00CF2BDC"/>
    <w:rsid w:val="00CF7E8C"/>
    <w:rsid w:val="00D55802"/>
    <w:rsid w:val="00D578D0"/>
    <w:rsid w:val="00D66ADD"/>
    <w:rsid w:val="00D671AA"/>
    <w:rsid w:val="00D673D2"/>
    <w:rsid w:val="00D71F01"/>
    <w:rsid w:val="00D73AE5"/>
    <w:rsid w:val="00D73C10"/>
    <w:rsid w:val="00D751B5"/>
    <w:rsid w:val="00D777E2"/>
    <w:rsid w:val="00D77B35"/>
    <w:rsid w:val="00DA1392"/>
    <w:rsid w:val="00DB3354"/>
    <w:rsid w:val="00DC155A"/>
    <w:rsid w:val="00DC691C"/>
    <w:rsid w:val="00DC7C38"/>
    <w:rsid w:val="00DE3543"/>
    <w:rsid w:val="00E12368"/>
    <w:rsid w:val="00E1533D"/>
    <w:rsid w:val="00E278CE"/>
    <w:rsid w:val="00E40EC2"/>
    <w:rsid w:val="00E41CA7"/>
    <w:rsid w:val="00E44CF2"/>
    <w:rsid w:val="00E71856"/>
    <w:rsid w:val="00E940AB"/>
    <w:rsid w:val="00E94F18"/>
    <w:rsid w:val="00E95CB8"/>
    <w:rsid w:val="00E965F2"/>
    <w:rsid w:val="00EA0A13"/>
    <w:rsid w:val="00EA6608"/>
    <w:rsid w:val="00EB2446"/>
    <w:rsid w:val="00EC3611"/>
    <w:rsid w:val="00EC5EC2"/>
    <w:rsid w:val="00EF6A19"/>
    <w:rsid w:val="00F003E8"/>
    <w:rsid w:val="00F11171"/>
    <w:rsid w:val="00F235A4"/>
    <w:rsid w:val="00F248C6"/>
    <w:rsid w:val="00F543F9"/>
    <w:rsid w:val="00F626E4"/>
    <w:rsid w:val="00F66770"/>
    <w:rsid w:val="00F81C73"/>
    <w:rsid w:val="00FA4727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85DF"/>
  <w15:docId w15:val="{D0151D77-BD63-4810-94DD-2DADD18B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96E9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B96E9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B96E9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96E9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B96E9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B96E9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B96E9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B96E9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B96E9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E9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B96E9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B96E9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B96E9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B96E9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B96E9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B96E9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B96E9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D578D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96E99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B96E9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B96E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96E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B96E9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96E9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96E9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96E99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96E9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B96E9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B96E9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96E9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E99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B96E99"/>
    <w:rPr>
      <w:color w:val="0000FF"/>
      <w:u w:val="single"/>
    </w:rPr>
  </w:style>
  <w:style w:type="character" w:customStyle="1" w:styleId="CharChar1">
    <w:name w:val="Char Char1"/>
    <w:locked/>
    <w:rsid w:val="00B96E99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B96E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96E99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B96E9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B96E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B96E9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B96E9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B96E9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96E9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B96E99"/>
  </w:style>
  <w:style w:type="paragraph" w:styleId="FootnoteText">
    <w:name w:val="footnote text"/>
    <w:basedOn w:val="Normal"/>
    <w:link w:val="Foot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B96E99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B96E9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B96E9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B96E9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96E99"/>
    <w:rPr>
      <w:b/>
      <w:bCs/>
    </w:rPr>
  </w:style>
  <w:style w:type="character" w:customStyle="1" w:styleId="CharChar22">
    <w:name w:val="Char Char22"/>
    <w:rsid w:val="00B96E9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B96E9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B96E9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B96E9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B96E99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B96E9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6E99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B96E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B96E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Normal"/>
    <w:rsid w:val="00B96E99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B96E9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B96E9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B96E9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B96E9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B96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B96E9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B96E9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B96E9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96E9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B96E99"/>
    <w:rPr>
      <w:lang w:val="en-US" w:eastAsia="en-US" w:bidi="ar-SA"/>
    </w:rPr>
  </w:style>
  <w:style w:type="character" w:customStyle="1" w:styleId="CharChar4">
    <w:name w:val="Char Char4"/>
    <w:locked/>
    <w:rsid w:val="00B96E9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B96E9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B96E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E99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qFormat/>
    <w:rsid w:val="00B96E9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Standard">
    <w:name w:val="Standard"/>
    <w:rsid w:val="00B96E99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B96E99"/>
    <w:pPr>
      <w:suppressLineNumbers/>
    </w:pPr>
    <w:rPr>
      <w:rFonts w:ascii="Liberation Serif;Times New Roma" w:hAnsi="Liberation Serif;Times New Roma" w:cs="Mangal;Dark Courier"/>
    </w:rPr>
  </w:style>
  <w:style w:type="character" w:customStyle="1" w:styleId="ezkurwreuab5ozgtqnkl">
    <w:name w:val="ezkurwreuab5ozgtqnkl"/>
    <w:basedOn w:val="DefaultParagraphFont"/>
    <w:rsid w:val="00E278CE"/>
  </w:style>
  <w:style w:type="character" w:customStyle="1" w:styleId="mw-page-title-main">
    <w:name w:val="mw-page-title-main"/>
    <w:basedOn w:val="DefaultParagraphFont"/>
    <w:rsid w:val="00E2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1F506-C8F6-4B52-B004-5986FF249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4</Pages>
  <Words>1213</Words>
  <Characters>6916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keywords>https:/mul2-edu.gov.am/tasks/1563926/oneclick/Hayt-ANPO-dzayn led ekran-Harut-Barghutyan (1) (1).docx?token=f945241bef6b7bab71cd1a76b55fdcb2</cp:keywords>
  <cp:lastModifiedBy>User</cp:lastModifiedBy>
  <cp:revision>210</cp:revision>
  <cp:lastPrinted>2024-10-14T06:34:00Z</cp:lastPrinted>
  <dcterms:created xsi:type="dcterms:W3CDTF">2024-07-01T13:42:00Z</dcterms:created>
  <dcterms:modified xsi:type="dcterms:W3CDTF">2024-10-18T12:11:00Z</dcterms:modified>
</cp:coreProperties>
</file>