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образования, науки, культуры и спорта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В. Саргсяна 3, Дом правительства 2, Ереван</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имущества для дома-музея Арама Хачатряна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Լիանա Խառատյան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liana.kharatyan@escs.am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010-599-656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образования, науки, культуры и спорта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ՀՀԿԳՄՍՆԷԱՃԱՊՁԲ-24/89</w:t>
      </w:r>
      <w:r>
        <w:rPr>
          <w:rFonts w:ascii="Calibri" w:hAnsi="Calibri" w:cstheme="minorHAnsi"/>
          <w:i/>
        </w:rPr>
        <w:br/>
      </w:r>
      <w:r>
        <w:rPr>
          <w:rFonts w:ascii="Calibri" w:hAnsi="Calibri" w:cstheme="minorHAnsi"/>
          <w:szCs w:val="20"/>
          <w:lang w:val="af-ZA"/>
        </w:rPr>
        <w:t>2024.10.18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образования, науки, культуры и спорта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образования, науки, культуры и спорта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имущества для дома-музея Арама Хачатряна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имущества для дома-музея Арама Хачатряна</w:t>
      </w:r>
      <w:r>
        <w:rPr>
          <w:rFonts w:ascii="Calibri" w:hAnsi="Calibri" w:cstheme="minorHAnsi"/>
          <w:b/>
          <w:lang w:val="ru-RU"/>
        </w:rPr>
        <w:t xml:space="preserve">ДЛЯ НУЖД  </w:t>
      </w:r>
      <w:r>
        <w:rPr>
          <w:rFonts w:ascii="Calibri" w:hAnsi="Calibri" w:cstheme="minorHAnsi"/>
          <w:b/>
          <w:sz w:val="24"/>
          <w:szCs w:val="24"/>
          <w:lang w:val="af-ZA"/>
        </w:rPr>
        <w:t>Министерство образования, науки, культуры и спорта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ՀՀԿԳՄՍՆԷԱՃԱՊՁԲ-24/89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liana.kharatyan@escs.am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имущества для дома-музея Арама Хачатряна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387.25</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419.97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2024.10.30.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ՀՀԿԳՄՍՆԷԱՃԱՊՁԲ-24/89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"ՀՀԿԳՄՍՆԷԱՃԱՊՁԲ-24/89"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"ՀՀԿԳՄՍՆԷԱՃԱՊՁԲ-24/89"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ՀՀԿԳՄՍՆԷԱՃԱՊՁԲ-24/89*.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Приложение 4.2</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под кодом ՀՀԿԳՄՍՆԷԱՃԱՊՁԲ-24/89*</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к приглашение на электронный аукцион</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ГАРАНТИЯ N________</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(обеспечение предоплаты)</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w:t>
      </w:r>
      <w:r w:rsidR="002848B6" w:rsidRPr="002848B6">
        <w:rPr>
          <w:rFonts w:cstheme="minorHAnsi"/>
          <w:color w:val="000000" w:themeColor="text1"/>
        </w:rPr>
        <w:t>предусмотренных договором    N_____________________________________________ заключаемым между</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номер заключаемого договора</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Министерство образования, науки, культуры и спорта РА (далее-бенефициар)  и ______________________________________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наименование отобранного участника</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(далее-принципал).</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2.  По гарантии_____________________________________________________</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наименование банка выдающего гарантию</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сумма в цифрах и прописью</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расчетный счет</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3. Настоящая гарантия является безотзывной.</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5. Гарантия действует с момента выпуска и в силе со дня вступления в силу договора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N____________________________заключенного между бенефициаром и принципалом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номер заключаемого договора</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1) копии заключенного договора N_____________________, включая</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номер заключаемого договара</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копии внесенных  в него изменений, дополнительных соглашений,</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0" w:history="1">
        <w:r w:rsidR="000829CD" w:rsidRPr="00E41FA3">
          <w:rPr>
            <w:rStyle w:val="Hyperlink"/>
            <w:rFonts w:cstheme="minorHAnsi"/>
          </w:rPr>
          <w:t>www.procurement.am</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8. Лицо, выдающее гарантию, отклоняет требование бенефициара, если:</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1) требование или прилагаемые документы не соответствуют условиям настоящей гарантии,</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2) требование представлено по истечении срока, установленного гарантией.</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10. К настоящей гарантии применяются соответствующие положения Гражданского кодекса Республики Армения</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ՀՀԿԳՄՍՆԷԱՃԱՊՁԲ-24/89</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Руководитель исполнительного органа_______________________</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__________________________________</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число, месяц, год</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*Заполняется секретарем Комиссии до опубликования приглашения в бюллетене</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ՀՀԿԳՄՍՆԷԱՃԱՊՁԲ-24/89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____365__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3-местный диван, без поручней. Форма дивана прямая, основной каркас изготовлен из цельного дерева, кусков массива толщиной 35*50 мм (+- 10%), фанеры толщиной не менее 10 мм или ламинированного ПТС толщиной не менее 18 мм на ровных поверхностях. Все крепления с помощью болтов диаметром не менее 3,5 мм и эмульсии, фиксируются давлением. Сиденья, спинки обтянуты губкой соответственно: толщиной 300мм, 250мм, плотностью не менее 30кг/м3 и обиты толстым, качественным бархатом для обивки, плотностью не менее 0,4кг/м², состав: 100% полиэстер, плотность: С тканью плотностью 0,4 кг/м². Цвет: темно-синий, оттенок согласовывать с заказчиком, основание сиденья: цельное дерева, ножки: деревянные, двойная лакировка, высота ножек: 100 мм, толщина: диаметр не менее 4 см, диван рассчитан на нагрузку не менее 350 кг. 
Внешние размеры дивана: 2200х900х920мм, глубина: 650мм, высота сиденья от пола: 440мм, конфигурация: нераскрывающаяся, к концам краев части ножек дивана, которые крепятся подставками темного цвета. касаться пола, толщина стенок которого должна быть не менее 8 мм.
Скрепления должны устанавливаться используя гарантированные и скрытые триггеры. Гарантия: не менее 1 года.
Указанные товары должны быть новыми, неиспользованными. Транспортировка, обработка, установка указанных товаров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Мягкая мебель:
Диван двухместный без поручней. Форма дивана: прямой, основной каркас из цельного дерева, куски массива толщиной 35*50 мм (+- 10%), фанера толщиной не менее 10 мм или ламинированный ПТС толщиной не менее 18 мм на ровных поверхностях. Все крепления с помощью болтов диаметром не менее 3,5 мм и эмульсии, фиксируются давлением. Сиденья, спинки обтянуты губкой соответственно: толщиной 300 мм, 250 мм, плотностью не менее 30 кг/м3 и обиты толстым, качественным бархатом для обивки, плотностью не менее 0,4 кг/м², состав: 100 процентный полиэстер, плотность с тканью плотностью 0,4 кг/м². Цвет: темно-синий, оттенок согласовывать с заказчиком, основание сиденья: массив дерева, ножки: деревянные, двойная лакировка, высота ножек: 100 мм, толщина: диаметр не менее 4 см, диван рассчитан на нагрузку не менее 350 кг. 
Внешние размеры дивана: 1500х900х920мм, глубина: 650мм, высота сиденья от пола: 440мм, конфигурация: неоткрывающаяся, темного цвета, к концам соприкасающихся с полом краев ножек дивана необходимо прикрепить стойки, толщина стен ниже которых должна быть быть не менее 8 мм. Скрепления должны устанавливатья используя гарантированные и скрытые триггеры. Гарантия: не менее 1 года.
Указанные товары должны быть новыми, неиспользованными. Транспортировка, обработка, установка указанных товаров осуществляется поставщиком. Образец /картинка 1/ прилагается.
Образцы изображений предоставляются только для общих целей и не являются частью какого-либо будущего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каркас из цельного бука, основание сиденья из фанеры толщиной не менее 107 мм. Сиденья, спинки, набитые губкой толщиной 5 мм и плотностью не менее 30 кг/м3, обиты плотной качественной обивочной тканью плотностью не менее 0,4 кг/м². Цвет: темно-синий, оттенок по согласованию с заказчиком. Размеры: 1010 х 500 х 450 мм, глубина сиденья: 450 мм, высота сиденья от пола: 430 мм. Гарантия: не менее 1 года.
Указанные товары должны быть новыми, неиспользованными. Транспортировка, обработка, указанных товаров осуществляется поставщиком. Образец /картинка 2/ прилагается.
Образцы изображений предоставляются только для общих целей и не являются частью какого-либо будущего контракта.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с поручнями, каркас из цельного бука, основание сиденья из фанеры толщиной не менее 107 мм, спинка и сиденье с набивкой из губки толщиной 5 мм плотностью не менее 30 кг/м3, обивка с плотностью обивки не менее 0,4 кг/м3. м², плотная, качественная ткань.Цвет: темно-синий, оттенок по согласованию с заказчиком. Размеры: 990 х 490 х 480 мм, глубина сиденья: 480 мм, высота сиденья от пола: 470 мм. Гарантия: не менее 1 года.
Указанные товары должны быть новыми, неиспользованными. Транспортировка, обработка, указанных товаров осуществляется поставщиком. Образец /картинка 3/ прилагается.
Образцы изображений предоставляются только для общих целей и не являются частью какого-либо будущего контракта.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3 улица Заробян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3 улица Заробян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3 улица Заробян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3 улица Заробян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до 01.12.2024г., но не ранее, чем со дня вступления контракта в силу 20-й календарный день, за исключением случаев, когда выбранный участник соглашается доставить товар в более короткие сроки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диваны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Стул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