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(5) ապակե սրվակներ և (5)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(5) ամպուլներ 4մլ, (5/1x5/) ամպուլներ 4մլ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150մգ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3500ԱՄ+4200ԱՄ+250ԱՄ; (20/2x10/) բլիստերում, (20/1x20/) բլիստերում, (40/4x10/) բլիստերում, (40/2x20/) բլիստերում, (80/8x10/) բլիստերում, (80/4x20/) բլիստերում, (100/10x10/) բլիստերում, (100/5x20/)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5մգ/մլ;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40մգ; (1) ապակե սրվակ, (5) ապակե սրվակ, (10)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20մգ;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(48/2x24/)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(40/1x40/) բլիստերում,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10մգ/մլ;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(20/1x20/)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(10/1x10/)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և լուծիչ մ/մ ներարկման լուծույթի 1000մգ; ապակե սրվակ և լուծիչ ամպուլում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 0,5գ; (1) ապակե սրվակ, (10) ապակե սրվակներ, (270)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(1) ապակե սրվակ, (10) ապակե սրվակներ, (50)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100մգ/5մլ; 32գ դեղափոշի 60մլ ապակե շշիկում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ներարկման/կաթիլաներարկման լուծույթի 750մգ;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(մերոպենեմ և նատրիումի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ներարկման լուծույթի 1000մգ; 100մլ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500000ՄՄ;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150մգ;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2մգ/մլ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75մգ;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կամ կաթիլաներարկման լուծույթի 1000մգ; (1) և (50)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և մ/մ ներարկման լուծույթի 1000մգ+500մգ;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 ներարկման/կաթիլաներարկման 10մգ/մլ; (5) ամպուլներ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50մկգ/մլ; (10/2x5/) ամպուլներ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(10/2x5/)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50մլ պլաստիկե փաթեթ,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50մգ;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120մգ/5մլ; 100մլ ապակե շշիկ և չափիչ գդալ կամ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(10), ստրիպում,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նարնջի համով 120մգ/5մլ; 60մլ ապակե շշիկ,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500մգ+5մգ+0,1մգ; (20/2x10/)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ներարկման/կաթիլաներարկման 5մգ/մլ; (5) ամպուլներ 3մլ, (10)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(10/2x5/)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(10/2x5/) ամպուլներ 4մլ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100մգ/մլ; 30մլ ապակե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2մգ/մլ; (5)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ալյումինե տարայում դեղաչափիչ մխոցով և շնչառման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 100մլ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84մգ/մլ; (10) ապակե սրվակներ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պլաստիկե փաթեթ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լուծույթ ներարկման 350մգ յոդ/մլ; (10) պլաստիկե սրվակներ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ականջակաթիլներ 2մգ/գ+70մգ/գ+25մգ/գ; 5գ պլաստիկե շշիկ, 15գ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լուծույթ ե/մ, մ/մ և ն/ե ներարկման50մգ/մլ,1մլ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դեղափոշի ներքին ընդունման դեղակախույթի 250մգ; (10)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էնտերալ Էներգիա /նուտրիկոմպ էներջի 500մլ,
բարձր էներգետիկ, բարձրսպիտակուցային բանաձև, ունի օպտիմալ , ճարպ գ/100մլ - 5.0հարաբերակցություն պօլիչհագեցած ճարպաթթուների, օմեգա ճարպաթթուների բարձր պարունակություն (EPA+DHA), էներգիա՝կկալ/ մլ-1.5, ապիտ/ճարպ/ածխ- 20/30/50, սպիտակուց գ/100մլ-7.5, ածխաջուր գ/100մլ - 18.8, լուծույթ էնտերալ սնուցման համար,սրվակ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էնտերալ ստանդարտ նեյտրալ /նուտրիկոմպ ստանդարտ
ստանդարտ էներգետիկ բանաձև՝ ցածր օսմոլյարություն, չի պարունակում սննդային մանրաթել, օպտիմալ է էնտերալ սնուցման սկսման համար, էներգիա՝կկալ/ մլ-1.0, ապիտ/ճարպ/ածխ- 15/30/55, սպիտակուց գ/100մլ-3.8, ճարպ գ/100մլ - 3.3, ածխաջուր գ/100մլ - 13.8, լուծույթ էնտերալ սնուցման համար ,սրվակ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 Նուտրիկոմպ /նուտրիկոմպ հեպա nutricomp hepa, բարձրէներգետիկ բանաձև, հատուկ ամինաթթուների բաղադրություն /կաթի սպիտակուց և չճյուղավորված շղթայով ամինաթթուներ, էներգիա՝կկալ/ մլ-1.3, ապիտ/ճարպ/ածխ/կկալ %- 12/40/47/1, սպիտակուց գ/100մլ-4.0, ճարպ գ/100մլ - 5.8, ածխաջուր գ/100մլ - 15.5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սոյայի յուղ, տրիգլիցերիդներ, ձիթապտղի յուղ, ձկան յուղ (հարստացված օմեգա-3 թթուներով)
կիթ կաթիլաներարկման 60մգ/մլ+60մգ/մլ+50մգ/մլ+30մգ/մլ; (10) ապակե շշիկ 100մլ և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թորած ջուր
1000մլ լուծույթ կաթիլաներարկման երկու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դեղահատեր աղելույծ 300մգ;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(օկտրեոտիդի ացետատ)
լուծույթ ներարկման 0,1մգ/մլ; (5)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(5)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200մգ/մլ;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(30/3x10/)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