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աշխատակազմի կարիքների համար ՀՀ Շիրակի մարզի թվով 17 մանկապարտեզների համար էլեկտրական եռաֆազ սալօջախի և էլեկտրական մսաղացի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մարզպետի աշխատակազմի կարիքների համար ՀՀ Շիրակի մարզի թվով 17 մանկապարտեզների համար էլեկտրական եռաֆազ սալօջախի և էլեկտրական մսաղացի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մարզպետի աշխատակազմի կարիքների համար ՀՀ Շիրակի մարզի թվով 17 մանկապարտեզների համար էլեկտրական եռաֆազ սալօջախի և էլեկտրական մսաղացի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մարզպետի աշխատակազմի կարիքների համար ՀՀ Շիրակի մարզի թվով 17 մանկապարտեզների համար էլեկտրական եռաֆազ սալօջախի և էլեկտրական մսաղացի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ՇՄԱ ԷԱՃԱՊՁԲ-2024/19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 ԷԱՃԱՊՁԲ-2024/19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 ԷԱՃԱՊՁԲ-2024/19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1,5 կՎտ։
Արտադրողականությունը (կգ/ժ) 250 կգ/ժ
Լարումը 220Վ:
Արագությունների տեսակների քանակը երկու:
Հզոր և հուսալի շարժիչ հովացման ռեժիմով:
Հետ պտտման ռեժիմով:
Կտրիը չժանգոտվող պողպատից 2 հատ
Չժանգոտվող պողպատից ափսե-2 հատ
Չժանգոտվող պողպատից տարբեր տրամաչափի ցանցեր –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Քաշը 65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