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ԱՆ ԻՆՖԵԿՑԻՈՆ ՀԻՎԱՆԴՈՒԹՅՈՒՆՆԵՐԻ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Նորք Մարաշ. Արմենակյան 153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ПРОДУКЦИИ ЛАБОРАТОРНОГО ДИЗАЙНА ДЛЯ НУЖД ЗАО «НАЦИОНАЛЬНЫЙ ЦЕНТР ИНФЕКЦИОННЫХ БОЛЕЗНЕЙ» 24/41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Էլինա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elinapoghosyan@yandex.com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010617107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ԱՆ ԻՆՖԵԿՑԻՈՆ ՀԻՎԱՆԴՈՒԹՅՈՒՆՆԵՐԻ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ԻՀԱԿ-ԷԱՃԱՊՁԲ-24/41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ПРОДУКЦИИ ЛАБОРАТОРНОГО ДИЗАЙНА ДЛЯ НУЖД ЗАО «НАЦИОНАЛЬНЫЙ ЦЕНТР ИНФЕКЦИОННЫХ БОЛЕЗНЕЙ» 24/41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ПРОДУКЦИИ ЛАБОРАТОРНОГО ДИЗАЙНА ДЛЯ НУЖД ЗАО «НАЦИОНАЛЬНЫЙ ЦЕНТР ИНФЕКЦИОННЫХ БОЛЕЗНЕЙ» 24/41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ԱՆ ԻՆՖԵԿՑԻՈՆ ՀԻՎԱՆԴՈՒԹՅՈՒՆՆԵՐԻ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ԻՀԱԿ-ԷԱՃԱՊՁԲ-24/41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elinapoghosyan@yandex.com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ПРОДУКЦИИ ЛАБОРАТОРНОГО ДИЗАЙНА ДЛЯ НУЖД ЗАО «НАЦИОНАЛЬНЫЙ ЦЕНТР ИНФЕКЦИОННЫХ БОЛЕЗНЕЙ» 24/41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ԻՀԱԿ-ԷԱՃԱՊՁԲ-24/41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ԻՀԱԿ-ԷԱՃԱՊՁԲ-24/41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ԻՀԱԿ-ԷԱՃԱՊՁԲ-24/41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ԻՀԱԿ-ԷԱՃԱՊՁԲ-24/41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ԱՆ ԻՆՖԵԿՑԻՈՆ ՀԻՎԱՆԴՈՒԹՅՈՒՆՆԵՐԻ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"ԻՀԱԿ-ԷԱՃԱՊՁԲ-24/41"*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ԱՆ ԻՆՖԵԿՑԻՈՆ ՀԻՎԱՆԴՈՒԹՅՈՒՆՆԵՐԻ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ԻՀԱԿ-ԷԱՃԱՊՁԲ-24/41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"ԻՀԱԿ-ԷԱՃԱՊՁԲ-24/41"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ԻՀԱԿ-ԷԱՃԱՊՁԲ-24/41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"ԻՀԱԿ-ԷԱՃԱՊՁԲ-24/41"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ԻՀԱԿ-ԷԱՃԱՊՁԲ-24/41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ԻՀԱԿ-ԷԱՃԱՊՁԲ-24/41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двухлетний экспресс-тест для выявления ВИЧ-IgG,IgM,IgA)/антител и сифилиса. Трепонема палладий: для качественного выявления антител. Предназначен для качественного выявления антител в цельной крови, сыворотке крови и плазме ВИЧ». 1, включая подтип О и ВИЧ 2- для обнаружения антител. Тестовый набор должен содержать необходимый буфер для разведения для теста. Тестовый набор должен быть включен в список тестов, прошедших предварительную квалификацию ВОЗ (Код(ы) продукта). ): Срок годности: не менее 12 месяцев. Наличие не менее 75% срока годности на момент поставки. Тест-набор должен быть включен в список преквалифицированных тестов ВОЗ (список ВОЗ преквалифицированных продуктов для диагностики in vitro, код(ы) продукта). Срок годности: не менее 12 месяцев. Наличие не менее 75% срока годности на момент поставки.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ԻՀԱԿ-ԷԱՃԱՊՁԲ-24/41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Ачаряна 2,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ԻՀԱԿ-ԷԱՃԱՊՁԲ-24/41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ԻՀԱԿ-ԷԱՃԱՊՁԲ-24/41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ԻՀԱԿ-ԷԱՃԱՊՁԲ-24/41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