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Ֆիզիկայի ինստիտուտի կարիքների համար լաբորատոր սարքեր, պարագաներ և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Ֆիզիկայի ինստիտուտի կարիքների համար լաբորատոր սարքեր, պարագաներ և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Ֆիզիկայի ինստիտուտի կարիքների համար լաբորատոր սարքեր, պարագաներ և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Ֆիզիկայի ինստիտուտի կարիքների համար լաբորատոր սարքեր, պարագաներ և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հպատակային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Հացատախտակ (Breadboard) մետաղալարի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NBIoT անլար ցանցի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ABS filament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 պաշտպանիչ էկրան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418.07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հպատակային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Հացատախտակ (Breadboard) մետաղալարի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NBIoT անլար ցանցի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ABS filament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 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հետո մեկ ամսվա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20-30-ից օրացուցային օրվա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բայց ոչ ուշ, քան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հպատակային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Հացատախտակ (Breadboard) մետաղալարի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NBIoT անլար ցանցի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ABS filament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 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