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2024.10.24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ՀԱՅԱՍՏԱՆԻ ԳԵՂԱՐՎԵՍՏԻ ՊԵՏԱԿԱՆ ԱԿԱԴԵՄԻԱ ՀԻՄՆԱԴՐԱՄ</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ք. Երևան, Իսահակյան 36</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 и приглашение о процедуре закупок под кодом HGPA-EAChTsDzB-2024/16 с целью приобретения  услуги полиграфии для нужд фонда Государственная академия художеств Армении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Փառանձեմ Խաչատրյան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parandzem.khachatryan@mail.ru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010(58-07-54)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ՀԱՅԱՍՏԱՆԻ ԳԵՂԱՐՎԵՍՏԻ ՊԵՏԱԿԱՆ ԱԿԱԴԵՄԻԱ ՀԻՄՆԱԴՐԱՄ</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ՀԳՊԱ-ԷԱՃԾՁԲ-2024/16</w:t>
      </w:r>
      <w:r w:rsidRPr="005704A1">
        <w:rPr>
          <w:rFonts w:ascii="Calibri" w:hAnsi="Calibri" w:cs="Times Armenian"/>
          <w:lang w:val="ru-RU"/>
        </w:rPr>
        <w:br/>
      </w:r>
      <w:r w:rsidRPr="005704A1">
        <w:rPr>
          <w:rFonts w:ascii="Calibri" w:hAnsi="Calibri" w:cstheme="minorHAnsi"/>
          <w:lang w:val="af-ZA"/>
        </w:rPr>
        <w:t>2024.10.24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ՀԱՅԱՍՏԱՆԻ ԳԵՂԱՐՎԵՍՏԻ ՊԵՏԱԿԱՆ ԱԿԱԴԵՄԻԱ ՀԻՄՆԱԴՐԱՄ</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ՀԱՅԱՍՏԱՆԻ ԳԵՂԱՐՎԵՍՏԻ ՊԵՏԱԿԱՆ ԱԿԱԴԵՄԻԱ ՀԻՄՆԱԴՐԱՄ</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 и приглашение о процедуре закупок под кодом HGPA-EAChTsDzB-2024/16 с целью приобретения  услуги полиграфии для нужд фонда Государственная академия художеств Армении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 и приглашение о процедуре закупок под кодом HGPA-EAChTsDzB-2024/16 с целью приобретения  услуги полиграфии для нужд фонда Государственная академия художеств Армении</w:t>
      </w:r>
      <w:r w:rsidR="005704A1" w:rsidRPr="005704A1">
        <w:rPr>
          <w:rFonts w:ascii="Calibri" w:hAnsi="Calibri"/>
          <w:b/>
          <w:lang w:val="ru-RU"/>
        </w:rPr>
        <w:t>ДЛЯНУЖД</w:t>
      </w:r>
      <w:r w:rsidR="00D80C43" w:rsidRPr="00D80C43">
        <w:rPr>
          <w:rFonts w:ascii="Calibri" w:hAnsi="Calibri"/>
          <w:b/>
          <w:lang w:val="hy-AM"/>
        </w:rPr>
        <w:t>ՀԱՅԱՍՏԱՆԻ ԳԵՂԱՐՎԵՍՏԻ ՊԵՏԱԿԱՆ ԱԿԱԴԵՄԻԱ ՀԻՄՆԱԴՐԱՄ</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ՀԳՊԱ-ԷԱՃԾՁԲ-2024/16</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parandzem.khachatryan@mail.ru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 и приглашение о процедуре закупок под кодом HGPA-EAChTsDzB-2024/16 с целью приобретения  услуги полиграфии для нужд фонда Государственная академия художеств Армении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387.14</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418.07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2024.11.05.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ՀԳՊԱ-ԷԱՃԾՁԲ-2024/16</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ՀԱՅԱՍՏԱՆԻ ԳԵՂԱՐՎԵՍՏԻ ՊԵՏԱԿԱՆ ԱԿԱԴԵՄԻԱ ՀԻՄՆԱԴՐԱՄ</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"ՀԳՊԱ-ԷԱՃԾՁԲ-2024/16"</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ՀԱՅԱՍՏԱՆԻ ԳԵՂԱՐՎԵՍՏԻ ՊԵՏԱԿԱՆ ԱԿԱԴԵՄԻԱ ՀԻՄՆԱԴՐԱՄ*(далее — Заказчик) процедуре закупок под кодом ՀԳՊԱ-ԷԱՃԾՁԲ-2024/16*.</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- 11815000774800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"ՀԳՊԱ-ԷԱՃԾՁԲ-2024/16"</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ՀԱՅԱՍՏԱՆԻ ԳԵՂԱՐՎԵՍՏԻ ՊԵՏԱԿԱՆ ԱԿԱԴԵՄԻԱ ՀԻՄՆԱԴՐԱՄ*(далее — Заказчик) процедуре закупок под кодом ՀԳՊԱ-ԷԱՃԾՁԲ-2024/16*.</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- 11815000774800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ՀԳՊԱ-ԷԱՃԾՁԲ-2024/16</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"древнее искусство Армянского нагорья (12 – я половина 3-го тысячелетия до н. э.", Размер: 20x26 см, Начинка: 300 страниц, 130-граммовая матовая мелованная бумага, двусторонняя печать, обложка: твердая обложка - 100 шт., Мягкая обложка - 50 шт. Цветная печать, ламинированное покрытие, обложка: волокнистая, термопечать. также необходима обработка 100 фотографий для обеспечения качественной печати. общее количество: 150 шт.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услуги будет осуществляться в течение 40 календарных дней с даты предоставления материала заказчиком с учетом требований правительства РА 2017 года. требования абзаца первого пункта 21 Порядка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