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2024.11.06.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ՄՍԾ 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գործողության ժամկետը անժամկետ: Վավեր է ետնամասում կնիքի առկայությամբ:
Մատակարարը պարտավորվում է ապահովել իր կողմից տրամադրված բենզինի կտրոններով սպասարկումը ՀՀ ամբողջ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գործողության ժամկետը անժամկետ: Վավեր է ետնամասում կնիքի առկայությամբ:
Մատակարարը պարտավորվում է ապահովել իր կողմից տրամադրված բենզինի կտրոններով սպասարկումը ՀՀ ամբողջ տարածքում: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