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ԶՄՄԱԲԿ-ԷԱՃԱՊՁԲ-69/24</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должен иметь не менее 7 светодиодных экранов, 2 канала /ФСР, УК/. Термопринтер, скорость печати - 1, 2, 3 см/мм, функция вытягивания бумаги, наличие программы RS-232C. Автоматический анализ КТГ 
Входной сигнал сердцебиения плода. Ультразвуковой импульсный допплер
Частота ультразвука. 1,0 МГц
Ультразвуковая мощность. «10 мВт/см2
Диапазон пульса плода не менее 50-240 уд./мин. Точность сердечного ритма плода. 120-160 ударов в минуту. -/+1 ударов в минуту, за исключением: 120-160 ударов в минуту. -/+2 удара в минуту Входной сигнал для сокращения матки. внешний датчик. Диапазон измерения. 0-99 баллов 
Власть. 100–240 В переменного тока (50/60 Гц), 1,2 А УЗИ-допплер и обязательное наличие датчиков сокращения матки.
Сертификаты CE, ISO 9001, ISO 13485. Устройство должно быть новым, неиспользованным, в закрытой заводской упаковке, с руководством пользователя на русском языке. Гарантия не менее 12 месяцев. Поставщик обязан обеспечить безопасную транспортировку оборудования, организацию опытных работ на территории медицинского центра в присутствии представителя заказчика. Техническое обслуживание сертифицированным специалистом в течение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