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Ազգային Ժողով աշխատակազմ</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Մարշալ Բաղրամյան 19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для нужд  топлива  бензин обычный  Национального Собрания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Հեղինե Թադևոսյան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heghine.tadevosyan@parliament.am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011513208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Ազգային Ժողով աշխատակազմ</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ԱԺ ԷԱՃԱՊՁԲ-25/3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для нужд  топлива  бензин обычный  Национального Собрания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для нужд  топлива  бензин обычный  Национального Собрания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Ազգային Ժողով աշխատակազմ</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ԱԺ ԷԱՃԱՊՁԲ-25/3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heghine.tadevosyan@parliament.am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для нужд  топлива  бензин обычный  Национального Собрания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419.2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2024.11.11.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ԱԺ ԷԱՃԱՊՁԲ-25/3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ԱԺ ԷԱՃԱՊՁԲ-25/3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ԱԺ ԷԱՃԱՊՁԲ-25/3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ԱԺ ԷԱՃԱՊՁԲ-25/3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Ազգային Ժողով աշխատակազմ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ԱԺ ԷԱՃԱՊՁԲ-25/3"*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Ազգային Ժողով աշխատակազմ</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ԱԺ ԷԱՃԱՊՁԲ-25/3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ԱԺ ԷԱՃԱՊՁԲ-25/3"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Ազգային Ժողով աշխատակազմ*(далее — Заказчик) процедуре закупок под кодом ՀՀ ԱԺ ԷԱՃԱՊՁԲ-25/3*.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ԱԺ ԷԱՃԱՊՁԲ-25/3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ԱԺ ԷԱՃԱՊՁԲ-25/3"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Ազգային Ժողով աշխատակազմ*(далее — Заказчик) процедуре закупок под кодом ՀՀ ԱԺ ԷԱՃԱՊՁԲ-25/3*.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ԱԺ ԷԱՃԱՊՁԲ-25/3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ԱԺ 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методом-не менее 91, моторным методом- не менее 81, содержание свинца  не более 5мг/ дм3, объемная доля бензола не более 1 %, плотность при температуре 150 C- от 720 до 775 кг/м3, содержание серы- не более 10мг/кг, объемная доля кислорода- не более 2,7 %, объемная доля окислителей – не  более -метанол-3 %, этанол-5 %, изопропиловый спирт -10%, изобутиловый спирт -10%, трет-бутиловый спирт-7 %, эфиры (C5 и более)-15%, другие окислители-10%:
Поставка чековая․
Участник должен Обеспечить возможность заправки чековым вариантом  в г. Ереване и во всех регионах Армении. Участник также должен предоставить сертификат соответствия товара (продукции).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ԱԺ 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для I этапа поставки, устанавливаеться максимум 22-օго календарнօго дня с даты вступления в силу договора,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ԱԺ 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ԱԺ 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ԱԺ 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