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418.79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глюкометры.(1000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 или ГОСТ Р ИСО 13485.
Сертификаты качества: ISO 15197 или ГОСТ Р ИСО 15197.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