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ԲԿԳԿ-ԷԱՃԱՊՁԲ-24/81</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ԲԿԳԿ-ԷԱՃԱՊՁԲ-24/81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ԲԿԳԿ-ԷԱՃԱՊՁԲ-24/81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"ԲԿԳԿ-ԷԱՃԱՊՁԲ-24/81"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"ԲԿԳԿ-ԷԱՃԱՊՁԲ-24/81"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ԲԿԳԿ-ԷԱՃԱՊՁԲ-24/81*</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ԲԿԳԿ-ԷԱՃԱՊՁԲ-24/81</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ԲԿԳԿ-ԷԱՃԱՊՁԲ-24/81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состоящая из 8 предметов, каждый из которых представляет собой стол, ламинированный из PTS/DSP, толщиной не менее 18 мм, размеры: 150*75*75 см +-1 см, с такими же ламинированными ножками от PTS/DSP, которые имеют винтовые педали регулировки высоты, а также панель из того же материала, соединяющую ножки спереди. открытые края каждой детали должны быть покрыты слоем термопласта из поливинилхлорида PTE/ПВХ толщиной не менее 0,4 мм, а 4 стороны лицевой стороны стола должны быть покрыты профилями из PMS/MDF. цвет: лизбон (или другой оттенок серого), пока поставка не согласована с заказчиком: Для товара устанавливается гарантийный срок-не менее 365 календарных дней со дня, следующего за Днем принятия товара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30 календарных дней, после вступления договора в силу,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