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2024.10.24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ЗАО Национальный Центр онкологии имени В.А. Фанарджяна</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г. Ереван, Фанарджяна 76</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лекарств</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10:00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12</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Ангин Хачатрян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angel.khachatryan@oncology.am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010205050 /218/</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ЗАО Национальный Центр онкологии имени В.А. Фанарджяна</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ՈՒԱԿ-ԷԱՃԱՊՁԲ-25/15</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2024.10.24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лекарств</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лекарств</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ЗАО Национальный Центр онкологии имени В.А. Фанарджяна</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ՈՒԱԿ-ԷԱՃԱՊՁԲ-25/15</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angel.khachatryan@oncology.am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лекарств</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4</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10:00</w:t>
      </w:r>
      <w:r w:rsidRPr="00CA6E78">
        <w:rPr>
          <w:rFonts w:asciiTheme="minorHAnsi" w:hAnsiTheme="minorHAnsi" w:cstheme="minorHAnsi"/>
          <w:lang w:val="ru-RU"/>
        </w:rPr>
        <w:t>" часов "</w:t>
      </w:r>
      <w:r w:rsidRPr="00CA6E78">
        <w:rPr>
          <w:rFonts w:asciiTheme="minorHAnsi" w:hAnsiTheme="minorHAnsi" w:cstheme="minorHAnsi"/>
        </w:rPr>
        <w:t>12</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фирменное наименование,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фирменное наименование</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387.63</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4.23</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416.1</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2024.11.12. 10:00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ՈՒԱԿ-ԷԱՃԱՊՁԲ-25/15</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ЗАО Национальный Центр онкологии имени В.А. Фанарджяна</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ՈՒԱԿ-ԷԱՃԱՊՁԲ-25/15</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ՈՒԱԿ-ԷԱՃԱՊՁԲ-25/15</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ՈՒԱԿ-ԷԱՃԱՊՁԲ-25/15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ЗАО Национальный Центр онкологии имени В.А. Фанарджяна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 </w:t>
      </w:r>
      <w:r w:rsidRPr="00CA6E78">
        <w:rPr>
          <w:rStyle w:val="Hyperlink"/>
          <w:rFonts w:asciiTheme="minorHAnsi" w:hAnsiTheme="minorHAnsi" w:cstheme="minorHAnsi"/>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Приложение 3.1</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под кодом "ՈՒԱԿ-ԷԱՃԱՊՁԲ-25/15"*</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к приглашение на электронный аукцион</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ГАРАНТИЯ N________</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(обеспечение квалификации)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номер заключаемого договора</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заключаемым                    (далее-принципал ) в результате  _______________________________</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наименование отобранного участника</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организованной   (далее-бенефициар) ЗАО Национальный Центр онкологии имени В.А. Фанарджяна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процедуры  закупок под кодом ՈՒԱԿ-ԷԱՃԱՊՁԲ-25/15</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2.  По гарантии_____________________________________________________</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наименование дающего гарантию банка или страховой компании</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___________________________________ (далее-сумма</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гарантии) в течение десяти рабочих  дней после получения требования. При выплате суммы гарантии учитываются вычеты из суммы гарантии на основании двухсторонне утвержденного акта (актов) приема-передачи между бенефициаром и принципалом в рамках исполнения договора и представленного принципалом лицу давшему гарантию. Выплата производится посредством перечисления на расчетный счет____________________ бенефициара.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расчетный счет</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3. Настоящая гарантия является безотзывной.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5. Гарантия действует с момента выпуска и в силе со дня вступления в силу договора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N____________________________заключенного между бенефициаром и принципалом                         </w:t>
      </w:r>
      <w:r w:rsidRPr="00F32D53">
        <w:rPr>
          <w:rFonts w:ascii="Calibri" w:eastAsiaTheme="minorHAnsi" w:hAnsi="Calibri" w:cstheme="minorBidi"/>
          <w:color w:val="000000" w:themeColor="text1"/>
          <w:sz w:val="18"/>
          <w:szCs w:val="22"/>
        </w:rPr>
        <w:t xml:space="preserve">номер заключаемого договора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и  действует  включительно  до  девяностого  рабочего  дня   следующего за днем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____________________________________________________________________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крайний срок поставки товаров, предусмотренный заключаемым договором</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6. Бенефициар предъявляет требование лицу, дающему гарантию, в письменной форме. К требованию прилагаются следующие документы:</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1) копии заключенного договора N_____________________, включая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номер заключаемого договара</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копии внесенных  в него изменений, дополнительных соглашений,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2) уведомление об одностороннем расторжении контракта бенефициаром опубликованное в бюллетене действующем по адресу </w:t>
      </w:r>
      <w:hyperlink r:id="rId10" w:history="1">
        <w:r w:rsidRPr="00F32D53">
          <w:rPr>
            <w:rStyle w:val="Hyperlink"/>
            <w:rFonts w:ascii="Calibri" w:eastAsiaTheme="minorHAnsi" w:hAnsi="Calibri" w:cstheme="minorBidi"/>
            <w:sz w:val="22"/>
            <w:szCs w:val="22"/>
          </w:rPr>
          <w:t>www.procurement.am</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3) двухсторонне утвержденный в рамках договора между бенефициаром и принципалом акт (акты) приема-передачи или его (их) копии.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8.Лицо, выдающее гарантию, отклоняет требование бенефициара, если: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 требование или прилагаемые документы не соответствуют условиям настоящей гарантии,</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2) требование представлено по истечении срока, установленного гарантией.</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10. К настоящей гарантии применяются соответствующие положения Гражданского кодекса Республики Армения</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Руководитель исполнительного органа_______________________</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__________________________________</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число, месяц, год</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*Заполняется секретарем Комиссии до опубликования приглашения в бюллетене</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"ՈՒԱԿ-ԷԱՃԱՊՁԲ-25/15"</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ՈՒԱԿ-ԷԱՃԱՊՁԲ-25/15*.</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ՈՒԱԿ-ԷԱՃԱՊՁԲ-25/15</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"ՈՒԱԿ-ԷԱՃԱՊՁԲ-25/15"</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ЗАО Национальный Центр онкологии имени В.А. Фанарджяна*(далее — Заказчик) процедуре закупок под кодом ՈՒԱԿ-ԷԱՃԱՊՁԲ-25/15*.</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Национальный Центр онкологии имени В.А. Фанарджяна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ՈՒԱԿ-ԷԱՃԱՊՁԲ-25/15</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3</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8.1.1 Министерства здравоохранения Республики Армения «В. А. ЗАО «Национальный онкологический центр имени Фанарджяна» для нужд противоопухолевых препаратов, на основании Закона Республики Армения «О лекарственных средствах», незарегистрированные препараты могут быть приобретены для нужд государства по специальному разрешению уполномоченного органа. , зарегистрированная Правительством Республики Армения в феврале 2017 года 23 «О создании международной профессиональной организации», предусмотренной Законом Республики Армения «О лекарственных средствах», в стране-члене международной профессиональной организации, определенной Решением N 172- А или иметь предварительную квалификацию Всемирной организации здравоохранения.
В приглашении на процедуру закупки лекарственных средств, предусмотренных пунктом 2.1 настоящего приложения, предусмотрено, что выбранный участник вместе с договором и квалификационными заверениями должен предоставить на незарегистрированные лекарственные средства в Закрытое акционерное общество «Экспертный центр» на лекарства и медицинские технологии имени академика Эмиля Габриеляна» Министерства здравоохранения Республики Армения заверенное свидетельство, выданное Правительством Республики Армения от 23 февраля 2017 года «О создании международной профессиональной организации», предусмотренное Законом Республика Армения «О лекарственных средствах» №.
При определении условий транспортировки, если лекарственный препарат требует особых термических, влажностных или других режимов или условий транспортировки согласно приказу Министра здравоохранения Республики Армения от 9 сентября 2010 года "Об установлении порядка транспортировки, хранения и хранения". лекарственных средств» N 17-Н, с обязательным указанием этих условий (например, осуществлять транспортировку при наличии ледяной цепи или боится влаги, солнечных лучей и т.п.);
При определении условий хранения, если лекарственное средство, включенное в наименование, требует особых температурных, влажностных режимов или условий хранения и транспортирования, согласно приказу Министра здравоохранения Республики Армения от 9 сентября 2010 года «Об установлении порядок транспортировки, хранения и хранения лекарственных средств» № 17-Н, в обязательном порядке указываются эти условия (например, хранить при температуре холодильника, в темном, прохладном месте, бояться влаги, солнечных лучей и т.п.);
 Сроки годности ЛП на момент передачи ЛП покупателю должны быть следующими:
а. Лекарственные средства со сроком годности 2,5 года и более должны иметь остаточный срок годности не менее 24 месяцев на момент поставки.
б. препараты со сроком годности до 2,5 лет должны иметь остаточный срок годности не менее 12 месяцев на момент поставки,
в. в отдельных случаях, то есть обоснованной необходимости удовлетворения острой потребности пациентов или короткого срока годности лекарственного препарата, остаточный срок годности лекарственного препарата на момент поставки устанавливается заказчиком, но не менее 3 месяцев. . Настоящий пункт распространяется на лекарственные средства, закупаемые для нужд Министерства здравоохранения Республики Армения, Министерства обороны Республики Армения, Министерства по чрезвычайным ситуациям Республики Армения, Полиции Республики Армения,
 поставщик обязуется представить заключение лабораторного исследования, проведенного закрытым акционерным обществом «Экспертный центр лекарственных средств и медицинских технологий имени академика Эмиля Габриеляна» Министерства здравоохранения Республики Армения, за исключением:
а. вакцина,
б. те лекарственные средства, которые были импортированы непосредственно от держателя регистрационного удостоверения или от лица, уполномоченного им в установленном порядке, и производитель имеет свидетельство о надлежащей производственной деятельности, выданное компетентными органами схемы сотрудничества фармацевтических инспекций (PIC/S) или члена ЕАЭС. государства,
в. лекарственных средств местного производства, производитель которых имеет сертификат надлежащей производственной деятельности (GMP), выданный Министерством здравоохранения Республики Армения, в отношении которого поставщик представляет копию выданного сертификата надлежащей производственной деятельности (GMP). Министерством здравоохранения Республики Армения.
 Покупатель имеет право заказать в течение года сумму меньше максимальной общей суммы, что не может привести к ненадлежащему исполнению обязательств сторон по договору.
 На этапе оценки участник обязан представить заключение лабораторного исследования, проведенного ЗАО «Экспертный центр лекарственных средств и медицинских технологий имени академика Эмиля Габриеляна» Министерства здравоохранения Республики Армения. , за исключением: а. вакцин, б. лекарственных средств, ввозимых непосредственно от держателя регистрационного удостоверения или уполномоченного им лица и производителя при сотрудничестве фармацевтических инспекций</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ՈՒԱԿ-ԷԱՃԱՊՁԲ-25/15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раствора-концентрата для капельного введения; Стеклянный флакон 45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карбоплатин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мг/мл раствора-концентрата для капельного введения; Стеклянный флакон 60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паклитаксел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паклитаксела для приготовления раствора для капельного введения 6мг/мл; стеклянный флакон 50 мл. Остальные условия приглашения определены в п. 8.1.1 договора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гемцитабин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Концентрат н/э, 38 мг/мл, флакон стеклянный, 2000 мг. Остальные условия приглашения определены в п. 8.1.1 договора.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ՈՒԱԿ-ԷԱՃԱՊՁԲ-25/15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Фанарджян,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20 календарных дней. Заказ на доставку товара(ов) оформляется Покупателем Продавцу в устной или письменной форме (в том числе путем отправки заказа с адреса электронной почты Покупателя на адрес электронной почты Продавца).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ՈՒԱԿ-ԷԱՃԱՊՁԲ-25/15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ՈՒԱԿ-ԷԱՃԱՊՁԲ-25/15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ՈՒԱԿ-ԷԱՃԱՊՁԲ-25/15</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