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2024.10.24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ՈՒԱԿ-ԷԱՃԱՊՁԲ-25/15</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 Ա. Ֆանարջյանի անվան ուռուցքաբանության ազգային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Ֆանարջյան 76</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010205050 /218/</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angel.khachatryan@oncology.am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 Ա. Ֆանարջյանի անվան ուռուցքաբանության ազգային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ՈՒԱԿ-ԷԱՃԱՊՁԲ-25/15</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2024.10.24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 Ա. Ֆանարջյանի անվան ուռուցքաբանության ազգային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 Ա. Ֆանարջյանի անվան ուռուցքաբանության ազգային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 Ա. Ֆանարջյանի անվան ուռուցքաբանության ազգային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ՈՒԱԿ-ԷԱՃԱՊՁԲ-25/15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angel.khachatryan@oncology.am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12</w:t>
      </w:r>
      <w:r w:rsidRPr="00857ECA">
        <w:rPr>
          <w:rFonts w:ascii="Calibri" w:hAnsi="Calibri" w:cs="Calibri"/>
          <w:szCs w:val="24"/>
          <w:lang w:val="hy-AM"/>
        </w:rPr>
        <w:t>»րդ օրվա ժամը «</w:t>
      </w:r>
      <w:r w:rsidRPr="00857ECA">
        <w:rPr>
          <w:rFonts w:asciiTheme="minorHAnsi" w:hAnsiTheme="minorHAnsi" w:cstheme="minorHAnsi"/>
          <w:szCs w:val="24"/>
        </w:rPr>
        <w:t>10:00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387.63</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4.23</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416.1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2024.11.12.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ՈՒԱԿ-ԷԱՃԱՊՁԲ-25/15</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Վ. Ա. Ֆանարջյանի անվան ուռուցքաբանության ազգային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ՈՒԱԿ-ԷԱՃԱՊՁԲ-25/15</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ՈՒԱԿ-ԷԱՃԱՊՁԲ-25/15</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«ՈՒԱԿ-ԷԱՃԱՊՁԲ-25/15»*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Վ. Ա. Ֆանարջյանի անվան ուռուցքաբանության ազգային կենտրոն ՓԲԸ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ՈՒԱԿ-ԷԱՃԱՊՁԲ-25/15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
        </w:r>
      </w:hyperlink>
      <w:r w:rsidRPr="00857ECA">
        <w:rPr>
          <w:rFonts w:ascii="Calibri" w:hAnsi="Calibri" w:cs="Calibri"/>
          <w:color w:val="000000"/>
          <w:sz w:val="20"/>
          <w:szCs w:val="20"/>
        </w:rPr>
        <w:t xml:space="preserve">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Հավելված 3.1</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«ՈՒԱԿ-ԷԱՃԱՊՁԲ-25/15»*  ծածկագրով</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Էլեկտրոնային աճուրդի հրավերի</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ԵՐԱՇԽԻՔ N __________</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(որակավորման ապահովում)</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1.Սույն երաշխիքը (այսուհետ՝ երաշխիք) հանդիսանում է Վ. Ա. Ֆանարջյանի անվան ուռուցքաբանության ազգային կենտրոն ՓԲԸ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(այսուհետ՝ բենեֆիցիար) կողմից ՈՒԱԿ-ԷԱՃԱՊՁԲ-25/15 ծածկագրով կազմակերպված</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գնման ընթացակարգի արդյունքում ____________________________</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ընտրված մասնակցի անվանումը</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(այսուհետ՝ պրինցիպալ) կողմից կնքվելիք N ______________________________________________</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կնքվելիք պայմանագրի համարը</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պայմանագրով (այսուհետ՝ պայմանագիր) նախատեսված պարտավորությունների կատարման համար անհրաժեշտ որակավորման ապահովում (այսուհետ՝ երաշխավորված պարտավորություններ):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2.Երաշխիքով________________________________(այսուհետ՝ երաշխիք տվող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երաշխիքը տվող բանկի կամ ապահովագրական կազմակերպության անվանումը</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անձ) անվերապահորեն պարտավորվում է բենեֆիցիարի՝ սույն երաշխիքով սահմանված կարգով և ժամկետում  ներկայացված պահանջով (այսուհետ՝ պահանջ) բենեֆիցիարին վճարել_______________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գումարը թվերով և տառերով</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(այսուհետ՝ երաշխիքի գումար)՝ պահանջն ստանալուց տասը աշխատանքային օրվա ընթացքում: Երաշխիքի գումարը վճարելուց հաշվի է առնվում պայմանագրի կատարման շրջանակում բենեֆիցիարի և պրինցիպալի միջև երկկողմ հաստատված և պրինցիպալի կողմից երաշխիքը տված անձին ներկայացված հանձնման-ընդունման արձանագրության (արձանագրությունների) հիման վրա երաշխիքի գումարից կատարված նվազեցումները:</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Վճարումը կատարվում է բենեֆիցիարի________________________հաշվեհամարին փոխանցման միջոցով:</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հաշվեհամարը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3. Սույն երաշխիքն անհետկանչելի է:</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5. Երաշխիքը գործում է թողարկման պահից և ուժի մեջ է բենեֆիցիարի և պրինցիպալի միջև N______________________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կնքվելիք պայմանագրի համարը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ծածկագրով կնքվելիք պայմանագիրն ուժի մեջ մտնելու օրվանից մինչև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___________________________________________________________________</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կնքվելիք պայմանագրով նախատեսված Ապրանքի, մատակարարման վերջնաժամկետը,</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1) N___________________ծածկագրով կնքված պայմանագրի, ներառյալ նաև դրանում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կնքվելիք պայմանագրի համարը</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կատարված փոփոխությունների, լրացուցիչ համաձայնագրերի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2) բենեֆիցիարի կողմից պայմանագիրը միակողմանի լուծելու մասին  </w:t>
      </w:r>
      <w:hyperlink r:id="rId17" w:history="1">
        <w:r>
          <w:rPr>
            <w:rStyle w:val="Hyperlink"/>
            <w:rFonts w:ascii="Calibri" w:hAnsi="Calibri" w:cs="Calibri"/>
            <w:sz w:val="20"/>
            <w:szCs w:val="20"/>
            <w:lang w:val="hy-AM"/>
          </w:rPr>
          <w:t>www.procurement.am </w:t>
        </w:r>
      </w:hyperlink>
      <w:r>
        <w:rPr>
          <w:rFonts w:ascii="Calibri" w:hAnsi="Calibri" w:cs="Calibri"/>
          <w:sz w:val="20"/>
          <w:szCs w:val="20"/>
          <w:lang w:val="hy-AM"/>
        </w:rPr>
        <w:t xml:space="preserve"> հասցեով գործող տեղեկագրում հրապարակած ծանուցումը.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3) պայմանագրի շրջանակում բենեֆիցիարի և պրինցիպալի միջև երկկողմ հաստատված հանձնման-ընդունման արձանագրությունը (արձանագրությունները) կամ դրա (դրանց) պատճենները: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8. Երաշխիք տվող անձը մերժում է բենեֆիցիարի պահանջը, եթե`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 պահանջը կամ կից փաստաթղթերը չեն համապատասխանում սույն երաշխիքի պայմաններին.</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2) պահանջը ներկայացվել է երաշխիքով սահմանված ժամկետի ավարտից հետո:</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Գործադիր մարմնի ղեկավար____________________</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__________________________________</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ամիսը, ամսաթիվը, տարեթիվը</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*լրացվում է հանձնաժողովի քարտուղարի կողմից մինչև հրավերը հրապարակելը:</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«ՈՒԱԿ-ԷԱՃԱՊՁԲ-25/15»*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ՈՒԱԿ-ԷԱՃԱՊՁԲ-25/15*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ՈՒԱԿ-ԷԱՃԱՊՁԲ-25/15</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«ՈՒԱԿ-ԷԱՃԱՊՁԲ-25/15»*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Վ. Ա. Ֆանարջյանի անվան ուռուցքաբանության ազգային կենտրոն ՓԲԸ*  (այսուհետ` Պատվիրատու) կողմից կազմակերպված` ՈՒԱԿ-ԷԱՃԱՊՁԲ-25/15*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 Ա. Ֆանարջյանի անվան ուռուցքաբանության ազգային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- 01002804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- 1570060023050100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«Վ․ Ա․ ՖԱՆԱՐՋՅԱՆԻ ԱՆՎԱՆ ՈՒՌՈՒՑՔԱԲԱՆՈՒԹՅԱՆ ԱԶԳԱՅԻՆ ԿԵՆՏՐՈՆ» ՓԲԸ-Ի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__</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10</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տաս</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15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տասնհինգ</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8․1․1 Հայաստանի Հանրապետության առողջապահության նախարարության «Վ. Ա. Ֆանարջյանի անվան ուռուցքաբանության ազգային կենտրոն» ՓԲԸ-ի` հակաուռուցքային դեղերի մասով կարիքների համար, հիմք ընդունելով «Դեղերի մասին» Հայաստանի Հանրապետության օրենքը, կարող են ձեռք բերվել պետության կարիքների համար լիազոր մարմնի հատուկ թույլտվությամբ կիրառվող չգրանցված դեղեր, որոնք գրանցված են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կամ ունեն Առողջապահության համաշխարհային կազմակերպության նախաորակավորում:
Սույն հավելվածի 2.1-ին կետով նախատեսված դեղերի համար գնման ընթացակարգի հրավերով նախատեսվում է, որ ընտրված մասնակիցը պայմանագրի և որակավորման ապահովումների հետ միաժամանակ, չգրանցված դեղերի համար պարտադիր ներկայացնում է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տրված հավաստող տեղեկանք՝ Հայաստանի Հանրապետության կառավարության 2017 թվականի փետրվարի 23-ի «Դեղերի մասին» Հայաստանի Հանրապետության օրենքով նախատեսված միջազգային մասնագիտական կազմակերպություն սահմանելու մասին» N 172-Ա որոշմամբ սահմանված միջազգային մասնագիտական կազմակերպության անդամ երկրում գրանցված լինելու կամ Առողջապահության համաշխարհային կազմակերպության նախաորակավորում ունենալու մասին:
Տեղափոխման պայմանները սահմանելիս, եթե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տեղափոխման հատուկ ջերմային, խոնավության կամ այլ ռեժիմներ կամ պայմաններ, պարտադիր նշվում են այդ պայմանները (օրինակ` տեղափոխումն իրականացնել սառցե շղթայի առկայության պարագայում, կամ վախենում է խոնավությունից, արևի ճառագայթներից և այլն).
Պահպանման պայմանները սահմանելիս, եթե անվանացանկում ընդգրկված դեղը` Հայաստանի Հանրապետության առողջապահության նախարարի 2010 թվականի սեպտեմբերի 9-ի «Դեղերի փոխադրման, պահեստավորման և պահպանման կարգը սահմանելու մասին» N 17-Ն հրամանի համաձայն պահանջում է պահպանման և տեղափոխման հատուկ ջերմային, խոնավության ռեժիմներ կամ պայմաններ, պարտադիր նշվում են այդ պայմանները (օրինակ` պահպանել սառնարանային ջերմաստիճանում, մութ, զով վայրում, վախենում է խոնավությունից, արևի ճառագայթներից և այլն).
 դեղի պիտանիության ժամկետները դեղը գնորդին հանձնելու պահին պետք է լինեն հետևյալը`
ա. 2,5 տարի և ավելի պիտանիության ժամկետ ունեցող դեղերը հանձնելու պահին պետք է ունենան առնվազն 24 ամիս մնացորդային պիտանիության ժամկետ,
բ. մինչև 2,5 տարի պիտանիության ժամկետ ունեցող դեղերը հանձնելու պահին պետք է ունենան առնվազն 12 ամիս մնացորդային պիտանիության ժամկետ,
գ. առանձին դեպքերում, այն է` հիվանդների անհետաձգելի պահանջի բավարարման հիմնավորված անհրաժեշտությունը կամ դեղի սպառման համար սահմանված պիտանիության կարճ ժամկետը, հանձնելու պահին դեղի մնացորդային պիտանիության ժամկետը սահմանվում է պատվիրատուի կողմից, բայց ոչ պակաս, քան 3 ամիս: Սույն կետը գործում է Հայաստանի Հանրապետության առողջապահության նախարարության, Հայաստանի Հանրապետության պաշտպանության նախարարության, Հայաստանի Հանրապետության արտակարգ իրավիճակների նախարարության, Հայաստանի Հանրապետության ոստիկանության կարիքների համար ձեռք բերվող դեղերի համար,
 մատակարարը պարտավորվում է դեղերը մատակարարելիս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մատակարարը ներկայացնում է Հայաստանի Հանրապետության առողջապահության նախարարության կողմից տրված պատշաճ արտադրական գործունեության հավաստագրի (ՊԱԳ) պատճեն:
       Գնորդն իրավունք ունի տարվա ընթացքում պարվիրել առավելագույն ընդհանուր քանակից քիչ քանակ, որը չի կարող հանգեցնել պայմանագրի կողմերի պարտականությունների ոչ պատշաճ կատարման:
 Գնահատման փուլում մասնակիցը պարտավոր է ներկայացնել Հայաստանի Հանրապետության առողջապահության նախարարության «Ակադեմիկոս Էմիլ Գաբրիելյանի անվան դեղերի և բժշկական տեխնոլոգիաների փորձագիտական կենտրոն» փակ բաժնետիրական ընկերության կողմից իրականացված լաբորատոր փորձաքննության եզրակացություն, բացառությամբ` ա. պատվաստանյութերի, բ. այն դեղերի, որոնք ներմուծվել են անմիջապես գրանցման հավաստագրի իրավատիրոջից կամ նրանից պատշաճ լիազորություններ ստացած անձից և արտադրողը ունի դեղագործական տեսչությունների համագործակցության սխեմայի (PIC/S) կամ ԵԱՏՄ անդամ երկրների իրավասու մարմինների կողմից տրված պատշաճ արտադրական գործունեության հավաստագիր, գ. այն տեղական արտադրության դեղերի, որոնց արտադրողը ունի Հայաստանի Հանրապետության առողջապահության նախարարության կողմից տրված պատշաճ արտադրական գործունեության հավաստագիր (ՊԱԳ), որի վերաբերյալ Վաճառողը ներկայացնում է Հայաստանի Հանրապետության առողջապահության նախարարության կողմից տրված պատշաճ արտադրական գործունեության հավաստագրի (ՊԱԳ) պատճեն:</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45մլ ապակե սրվակ: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33651232/504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կարբոպլատին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կաթիլաներարկման լուծույթի 10մգ/մլ; 60մլ ապակե սրվակ։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33651243/508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պակլիտաքսել խտանյութ կաթիլաներարկման լուծույթի 6մգ/մլ; ապակե սրվակ 50մլ։ Հրավերի մնացյալ պայմանները սահմանված են պայմանգրի 8․1․1 կետով։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33651245/501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գեմցիտաբին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Խտանյութ ն/ե,38մգ/մլ, ապակե սրվակ, 2000 մգ։ Հրավերի մնացյալ պայմանները սահմանված են պայմանգրի 8․1․1 կետով։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Ֆանարջյան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