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ԱՄԱՀ-ԷԱՃԾՁԲ-24/130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Արտաշատ քաղաքի և Արտաշատ համայնքի թվով 37 բնակավայրերում ամանորին նվիրված միջոցառումների հետ կապված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Գեղամ Վարդանյան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093975740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gegam.vardanyan.1995@mail.ru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ԱՄԱՀ-ԷԱՃԾՁԲ-24/130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Արտաշատ քաղաքի և Արտաշատ համայնքի թվով 37 բնակավայրերում ամանորին նվիրված միջոցառումների հետ կապված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Արտաշատ քաղաքի և Արտաշատ համայնքի թվով 37 բնակավայրերում ամանորին նվիրված միջոցառումների հետ կապված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ԱՄԱՀ-ԷԱՃԾՁԲ-24/130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gegam.vardanyan.1995@mail.ru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Արտաշատ քաղաքի և Արտաշատ համայնքի թվով 37 բնակավայրերում ամանորին նվիրված միջոցառումների հետ կապված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2024.11.12.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ԱՄԱՀ-ԷԱՃԾՁԲ-24/130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ԱՄԱՀ-ԷԱՃԾՁԲ-24/130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ԱՄԱՀ-ԷԱՃԾՁԲ-24/130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«ԱՄԱՀ-ԷԱՃԾՁԲ-24/130»*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ԱՄԱՀ-ԷԱՃԾՁԲ-24/130*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«ԱՄԱՀ-ԷԱՃԾՁԲ-24/130»*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ԱՄԱՀ-ԷԱՃԾՁԲ-24/130*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ԱՐՏԱՇԱՏԻ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կողմերի միջև կնքվող համաձայնագրի ուժի մեջ մտնելուց հետո 2024թ․-ի դեկտեմբերի 20-ին,26-ին27-ին և 30-ին։ ըստ տեխնիկական բնութագրի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