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kristine.mailyan@mlsa.am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kristine.mailyan@mlsa.am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ԱՍՀՆ-ԷԱՃԱՊՁԲ-25/7-2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ԱՍՀՆ-ԷԱՃԱՊՁԲ-25/7-2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ԱՍՀՆ-ԷԱՃԱՊՁԲ-25/7-2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ԱՍՀՆ-ԷԱՃԱՊՁԲ-25/7-2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ԱՍՀՆ-ԷԱՃԱՊՁԲ-25/7-2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265/60/R17-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V (210), բեռնվածության ինդեքսը - Load index ոչ պակաս - 112, բեռնվածությունը (կգ)- Max.load(kg) ոչ պակաս – 1120 կգ: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V (210), բեռնվածության ինդեքսը - Load index ոչ պակաս - 95,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- 92,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- 92,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60A 66A Անվանական ունակությունը-60 կամ 66Ա/Ժ, բևեռականությունը-հակադարձ կամ 0, երկարությունը` (ոչ ավել)-242մմ, լայնությունը (ոչ ավել) -175մմ, բարձրությունը (ոչ ավել)-190մմ, սառը պարպման հոսանքը EN (ոչ պակաս)-600A, մարտկոցի արտադրության տարեթիվը-2025թ: Չօգտագործված: Տեղափոխումը մատակարարի կողմից: Ապրանքի որակի սերտիֆիկատի առկայությունը կամ գործարանային փաթեթավորումը պարտադիր է,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հեղուկ/անտիֆրիզ/ Astron,հիբրիդային (HOAT - Hybrid Organic Acid Technology) կամ համարժեքը, նախատեսված ներքին այրման շարժիչներում օգտագործվող, որպես հովացման հեղուկ, բյուրեղացման աստիճանը -40-ից ոչ բարձր, հիմնայնությունը 10 սմ3 ոչ պակաս, առանց մեխանիկական խառնուրդների, գույնը կարմիր կամ կանաչ,փաթեթավորումը 1լ G տարաներով: Տեղափոխումը մատակարարի կողմից: Արտադրության տարեթիվը-2025թ: Մնացած բոլոր տեխնիկական տվյալները պետք է համապատասխանեն 2422-007-57223659-2010 տեխնիկական պայմաններին: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