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ԷԱՃԱՊՁԲ-3/2025/ԱՎՏՈ</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վառելիքի ձեռքբերում ՀՀ ՆԳՆ ԷԱՃԱՊՁԲ-2/2025/ԱՎՏՈ</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ԷԱՃԱՊՁԲ-3/2025/ԱՎՏՈ</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վառելիքի ձեռքբերում ՀՀ ՆԳՆ ԷԱՃԱՊՁԲ-2/2025/ԱՎՏՈ</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վառելիքի ձեռքբերում ՀՀ ՆԳՆ ԷԱՃԱՊՁԲ-2/2025/ԱՎՏՈ</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ԷԱՃԱՊՁԲ-3/2025/ԱՎՏՈ</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վառելիքի ձեռքբերում ՀՀ ՆԳՆ ԷԱՃԱՊՁԲ-2/2025/ԱՎՏՈ</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387.62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421.19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ԷԱՃԱՊՁԲ-3/2025/ԱՎՏՈ</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ԷԱՃԱՊՁԲ-3/2025/ԱՎՏՈ</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ԷԱՃԱՊՁԲ-3/2025/ԱՎՏՈ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ԷԱՃԱՊՁԲ-3/2025/ԱՎՏՈ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ԷԱՃԱՊՁԲ-3/2025/ԱՎՏՈ»*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ԷԱՃԱՊՁԲ-3/2025/ԱՎՏՈ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ԷԱՃԱՊՁԲ-3/2025/ԱՎՏՈ»*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ԷԱՃԱՊՁԲ-3/2025/ԱՎՏՈ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ԷԱՃԱՊՁԲ-3/2025/ԱՎՏՈ»*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ԷԱՃԱՊՁԲ-3/2025/ԱՎՏՈ*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ԷԱՃԱՊՁԲ-3/2025/ԱՎՏՈ</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ԷԱՃԱՊՁԲ-3/2025/ԱՎՏՈ»*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ԷԱՃԱՊՁԲ-3/2025/ԱՎՏՈ*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25 000 լիտր 2-րդ եռամսյակի համար 25 000 լիտր 3-րդ եռամսյակի համար 25 000 լիտր 4-րդ եռամսյակի համար 25 000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