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2024.10.31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ՀՊՄՀ-ԷԱՃԱՊՁԲ-25/2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АРМЯНСКИЙ ГОСУДАРСТВЕННЫЙ ПЕДАГОГИЧЕСКИЙ УНИВЕРСИТЕТ ИМЕНИ ХАЧАТУРА АБОВЯНА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Тиграна Меца 17,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топлива на 2025 год  для фонда АГПУ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Сусанна Аветисян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gnumner@aspu.am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+374 98 59 49 12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АРМЯНСКИЙ ГОСУДАРСТВЕННЫЙ ПЕДАГОГИЧЕСКИЙ УНИВЕРСИТЕТ ИМЕНИ ХАЧАТУРА АБОВЯНА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ՀՊՄՀ-ԷԱՃԱՊՁԲ-25/2</w:t>
      </w:r>
      <w:r w:rsidRPr="00E4651F">
        <w:rPr>
          <w:rFonts w:asciiTheme="minorHAnsi" w:hAnsiTheme="minorHAnsi" w:cstheme="minorHAnsi"/>
          <w:i/>
        </w:rPr>
        <w:br/>
      </w:r>
      <w:r w:rsidR="00A419E4" w:rsidRPr="00E4651F">
        <w:rPr>
          <w:rFonts w:asciiTheme="minorHAnsi" w:hAnsiTheme="minorHAnsi" w:cstheme="minorHAnsi"/>
          <w:szCs w:val="20"/>
          <w:lang w:val="af-ZA"/>
        </w:rPr>
        <w:t>2024.10.31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АРМЯНСКИЙ ГОСУДАРСТВЕННЫЙ ПЕДАГОГИЧЕСКИЙ УНИВЕРСИТЕТ ИМЕНИ ХАЧАТУРА АБОВЯНА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АРМЯНСКИЙ ГОСУДАРСТВЕННЫЙ ПЕДАГОГИЧЕСКИЙ УНИВЕРСИТЕТ ИМЕНИ ХАЧАТУРА АБОВЯНА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топлива на 2025 год  для фонда АГПУ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топлива на 2025 год  для фонда АГПУ</w:t>
      </w:r>
      <w:r w:rsidR="00812F10" w:rsidRPr="00E4651F">
        <w:rPr>
          <w:rFonts w:cstheme="minorHAnsi"/>
          <w:b/>
          <w:lang w:val="ru-RU"/>
        </w:rPr>
        <w:t xml:space="preserve">ДЛЯ НУЖД </w:t>
      </w:r>
      <w:r w:rsidR="0039665E" w:rsidRPr="0039665E">
        <w:rPr>
          <w:rFonts w:cstheme="minorHAnsi"/>
          <w:b/>
          <w:u w:val="single"/>
          <w:lang w:val="af-ZA"/>
        </w:rPr>
        <w:t>АРМЯНСКИЙ ГОСУДАРСТВЕННЫЙ ПЕДАГОГИЧЕСКИЙ УНИВЕРСИТЕТ ИМЕНИ ХАЧАТУРА АБОВЯНА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ՀՊՄՀ-ԷԱՃԱՊՁԲ-25/2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gnumner@aspu.am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топлива на 2025 год  для фонда АГПУ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387.09</w:t>
      </w:r>
      <w:r>
        <w:rPr>
          <w:rFonts w:ascii="Calibri" w:hAnsi="Calibri" w:cstheme="minorHAnsi"/>
          <w:szCs w:val="22"/>
        </w:rPr>
        <w:t xml:space="preserve"> драмом, российский рубль </w:t>
      </w:r>
      <w:r>
        <w:rPr>
          <w:rFonts w:ascii="Calibri" w:hAnsi="Calibri" w:cstheme="minorHAnsi"/>
          <w:lang w:val="af-ZA"/>
        </w:rPr>
        <w:t>3.91</w:t>
      </w:r>
      <w:r>
        <w:rPr>
          <w:rFonts w:ascii="Calibri" w:hAnsi="Calibri" w:cstheme="minorHAnsi"/>
          <w:szCs w:val="22"/>
        </w:rPr>
        <w:t xml:space="preserve"> драмом, евро </w:t>
      </w:r>
      <w:r>
        <w:rPr>
          <w:rFonts w:ascii="Calibri" w:hAnsi="Calibri" w:cstheme="minorHAnsi"/>
          <w:lang w:val="af-ZA"/>
        </w:rPr>
        <w:t>421.97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ՀՊՄՀ-ԷԱՃԱՊՁԲ-25/2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АРМЯНСКИЙ ГОСУДАРСТВЕННЫЙ ПЕДАГОГИЧЕСКИЙ УНИВЕРСИТЕТ ИМЕНИ ХАЧАТУРА АБОВЯНА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"ՀՊՄՀ-ԷԱՃԱՊՁԲ-25/2"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АРМЯНСКИЙ ГОСУДАРСТВЕННЫЙ ПЕДАГОГИЧЕСКИЙ УНИВЕРСИТЕТ ИМЕНИ ХАЧАТУРА АБОВЯНА*(далее — Заказчик) процедуре закупок под кодом ՀՊՄՀ-ԷԱՃԱՊՁԲ-25/2*.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ГОСУДАРСТВЕННЫЙ ПЕДАГОГИЧЕСКИЙ УНИВЕРСИТЕТ ИМЕНИ ХАЧАТУРА АБОВЯНА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"ՀՊՄՀ-ԷԱՃԱՊՁԲ-25/2"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АРМЯНСКИЙ ГОСУДАРСТВЕННЫЙ ПЕДАГОГИЧЕСКИЙ УНИВЕРСИТЕТ ИМЕНИ ХАЧАТУРА АБОВЯНА*(далее — Заказчик) процедуре закупок под кодом ՀՊՄՀ-ԷԱՃԱՊՁԲ-25/2*.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ГОСУДАРСТВЕННЫЙ ПЕДАГОГИЧЕСКИЙ УНИВЕРСИТЕТ ИМЕНИ ХАЧАТУРА АБОВЯНА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ՀՊՄՀ-ԷԱՃԱՊՁԲ-25/2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150С 820-845 кг/м3.
Массовая доля полициклических ароматических углеводородов: не более 11%. Содержание серы не более 10 мг/кг.
Температура вспышки: не ниже 55 0С.
Углеродный остаток (коксование) в 10% осадке не более 0,3%. Вязкость при 400°С: от 2,0 до 4,5 мм2/с.
Температура помутнения: не выше 5 0С.
Безопасность, маркировка и упаковка в соответствии с постановлением Правительства РА от 2004 года. «Технический регламент моторных топлив внутреннего сгорания», утвержденный решением N 1592 от 11 ноября. Оформляйте поставку в виде равномерно распределенных купонов на 10 и 20 литров. Поставка в соответствии с запросом на покупку клиента. Срок действия купонов истекает не позднее 25 декабря 2025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Октановое число, определенное исследовательским методом, не менее 95.
Двигательным методом – не менее 85.
Содержание свинца: не более 5 мг/дм3.
Плотность при 15 0С: 720-775 кг/м3.
Содержание серы: не более 10 мг/кг.
Объемная доля углеводородов, не более ароматических - 35%, олефинов - 18%, объемная доля бензола не более 1%.
Массовая доля кислорода - не более 2,7 %, объемная доля окислителей - не более: метанол - 3 %, этанол - 5 %, изопропиловый спирт - 10 %, изобутиловый спирт - 10 %, тербутиловый спирт - 7 %, эфиры ( С5 и более) — 15 %, остальные окислители — 10 %.
Доставка по купону (действительна только при политровой покупке).
Безопасность, маркировка и упаковка согласно постановлению правительства РА от 2004 года. «Технический регламент моторных топлив внутреннего сгорания», утвержденный решением N 1592 от 11 ноября. Оформляйте поставку в виде равномерно распределенных купонов на 10 и 20 литров. Поставка в соответствии с запросом на покупку клиента. Срок действия купонов истекает не позднее 25 декабря 2025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предоставления денежных средств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в силу договора и предоставления денежных средств до 25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