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ՀՊՄՀ-ԷԱՃԱՊՁԲ-25/2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Խ. ԱԲՈՎՅԱՆԻ ԱՆՎԱՆ ՊԵՏԱԿԱՆ ՄԱՆԿԱՎԱՐԺԱԿԱՆ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ՀՊՄՀ հիմնադրամի 2025 թվականի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+374 98 59 49 12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gnumner@aspu.am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Խ. ԱԲՈՎՅԱՆԻ ԱՆՎԱՆ ՊԵՏԱԿԱՆ ՄԱՆԿԱՎԱՐԺԱԿԱՆ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ՀՊՄՀ-ԷԱՃԱՊՁԲ-25/2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Խ. ԱԲՈՎՅԱՆԻ ԱՆՎԱՆ ՊԵՏԱԿԱՆ ՄԱՆԿԱՎԱՐԺԱԿԱՆ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Խ. ԱԲՈՎՅԱՆԻ ԱՆՎԱՆ ՊԵՏԱԿԱՆ ՄԱՆԿԱՎԱՐԺԱԿԱՆ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ՀՊՄՀ հիմնադրամի 2025 թվականի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Խ. ԱԲՈՎՅԱՆԻ ԱՆՎԱՆ ՊԵՏԱԿԱՆ ՄԱՆԿԱՎԱՐԺԱԿԱՆ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ՀՊՄՀ հիմնադրամի 2025 թվականի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ՀՊՄՀ-ԷԱՃԱՊՁԲ-25/2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gnumner@aspu.am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ՀՊՄՀ հիմնադրամի 2025 թվականի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ՀՊՄՀ-ԷԱՃԱՊՁԲ-25/2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Խ. ԱԲՈՎՅԱՆԻ ԱՆՎԱՆ ՊԵՏԱԿԱՆ ՄԱՆԿԱՎԱՐԺԱԿԱՆ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ՀՊՄՀ-ԷԱՃԱՊՁԲ-25/2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ՀՊՄՀ-ԷԱՃԱՊՁԲ-25/2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ՀՊՄՀ-ԷԱՃԱՊՁԲ-25/2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«ՀՊՄՀ-ԷԱՃԱՊՁԲ-25/2»*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«ՀՊՄՀ-ԷԱՃԱՊՁԲ-25/2»*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Խ. ԱԲՈՎՅԱՆԻ ԱՆՎԱՆ ՊԵՏԱԿԱՆ ՄԱՆԿԱՎԱՐԺԱԿԱՆ ՀԱՄԱԼՍԱՐԱՆ ՀԻՄՆԱԴՐԱՄ*  (այսուհետ` Պատվիրատու) կողմից կազմակերպված` ՀՊՄՀ-ԷԱՃԱՊՁԲ-25/2*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Խ. ԱԲՈՎՅԱՆԻ ԱՆՎԱՆ ՊԵՏԱԿԱՆ ՄԱՆԿԱՎԱՐԺԱԿԱՆ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- 1510002308480100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ԽԱՉԱՏՈՒՐ ԱԲՈՎՅԱՆԻ ԱՆՎԱՆ ՀԱՅԿԱԿԱՆ ՊԵՏԱԿԱՆ ՄԱՆԿԱՎԱՐԺԱԿԱՆ ՀԱՄԱԼՍԱՐԱՆ ՀԻՄՆԱԴՐԱՄԻ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Մատակարարումը  ըստ պատվիրատուի գնման հայտի: Կտրոնների ժամկետը ոչ պակաս քան 2025 թվականի դեկտեմբերի 25-ը: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95: Շարժիչային մեթոդով` ոչ պակաս 85: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կատարել 10 լիտր և 20 լիտր հավասարաչափ բաշխված կտրոնների տեսքով: Մատակարարումը  ըստ պատվիրատուի գնման հայտի: Կտրոնների ժամկետը ոչ պակաս քան 2025 թվականի դեկտեմբերի 25-ը: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2025 թվականի դեկտոմբերի 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և ֆինանսական միջոցներ նախատեսվելուց մինչև 2025 թվականի դեկտոմբերի 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