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վառելիքի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վառելիքի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վառելիքի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վառելիքի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ԷԲԿ-ԷԱՃԱՊՁԲ-24/28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ԷԲԿ-ԷԱՃԱՊՁԲ-24/28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ԷԲԿ-ԷԱՃԱՊՁԲ-24/28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ԷԲԿ-ԷԱՃԱՊՁԲ-24/28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1%-ից ոչ ավելի, խտությունը` 15°C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