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ընդհանուր կարիքների համար դիզելային վառելիքի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 ԵՊՀ ավտովարկ:</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1.Դիզելային վառելիք, ձմեռային, /2-րդ դասի/
Ցետանային թիվը 48-ից ոչ պակաս: 
Ցետանային ցուցիչը 46-ից ոչ պակաս: 
Խտությունը 15 0C ջերմաստիճանում 800-840 կգ/մ3: 
Պոլիցիկլիկ արոմատիկ ածխաջրածինների զանգվածային մասը 11 %-ից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 0C-ում` 1,5-ից մինչև 4,0 մմ2/վ: 
Պղտորման ջերմաստիճանը` մինուս 22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 ագիրը ուժի մեջ մտնելուց հետո մինչեւ 21- րդ օրացուց 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