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по снабжению питевой воды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по снабжению питевой воды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по снабжению питевой воды</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по снабжению питевой воды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качественная, хлорированная, с фильтром из активированного угля, стерилизованная УФ-фильтром перед розливом, разлитая в предназначенные для этих целей полимерные бутылки емкостью 19 литров. Безопасность и маркировка по приказу Министра здравоохранения Республики Армения «Об утверждении норм «Гигиенические требования безопасности и пищевой ценности пищевого сырья и пищевой продукции» N 2-III-4.9-01-2010» от 10.03.2010. 2010. Статьи 8 и 9 Приказа № 06-Н и Закона РА "О безопасности пищевых продуктов".
До начала поставок Продавец предоставляет Покупателю 23 новых устройства для воды, диспенсеры, которые возвращаются Продавцу после окончания срока действия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