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3759248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ԳՄ 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 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 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ԳՄ 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Գեղարքունիքի մարզպետի աշխատակազմի կարիքների համար ռեգուլյար բենզինի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1.Օկտանային թիվը`  91 2.Խտությունը՝ 150  C-ում՝ ոչ ավել 775կգ/մ3 3.բենզոլի ծավալային մասը՝ 1% Ստանդարտը 1.ՀՀ կառ.որոշում 16.06.2005թ.N 894-ն Տեխնիկական կանոնակարգ Պայմանական նշանները 1.«Վախենում է կրակից» Տեղափոխման անվտանգությունը 1.Հրավտանգ Անվտանգությունը՝ շրջակա միջավայրի համար 1.Կապարի պարունակությունը՝ ոչ ավելի 0.005 գ/լ Տեսքը 8.Մաքուր և պարզ Մատակարարումը 9.Կտրոնային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