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ԷԱՃԱՊՁԲ-7/2025/ԱՎՏՈ</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/վառելիքի/  ձեռքբերում ՀՀ ՆԳՆ ԷԱՃԱՊՁԲ-7/2025/ԱՎՏՈ</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010596857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ԷԱՃԱՊՁԲ-7/2025/ԱՎՏՈ</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/վառելիքի/  ձեռքբերում ՀՀ ՆԳՆ ԷԱՃԱՊՁԲ-7/2025/ԱՎՏՈ</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/վառելիքի/  ձեռքբերում ՀՀ ՆԳՆ ԷԱՃԱՊՁԲ-7/2025/ԱՎՏՈ</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ԷԱՃԱՊՁԲ-7/2025/ԱՎՏՈ</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/վառելիքի/  ձեռքբերում ՀՀ ՆԳՆ ԷԱՃԱՊՁԲ-7/2025/ԱՎՏՈ</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ԷԱՃԱՊՁԲ-7/2025/ԱՎՏՈ</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ԷԱՃԱՊՁԲ-7/2025/ԱՎՏՈ</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ԷԱՃԱՊՁԲ-7/2025/ԱՎՏՈ</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ԷԱՃԱՊՁԲ-7/2025/ԱՎՏՈ</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ԷԱՃԱՊՁԲ-7/2025/ԱՎՏՈ</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ԷԱՃԱՊՁԲ-7/2025/ԱՎՏՈ»*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ԷԱՃԱՊՁԲ-7/2025/ԱՎՏՈ*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ԷԱՃԱՊՁԲ-7/2025/ԱՎՏՈ»*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ԷԱՃԱՊՁԲ-7/2025/ԱՎՏՈ*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98, շարժիչային մեթոդով՝ ոչ պակաս 88,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ՀՀ բոլոր խոշոր քաղաքներում բենզալցկայանների առակայությունը պարտադիր է, կից ներկայացնել բենզալցակայանների տեղակայման վայրերի վերաբերյալ տեղեկանք,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5000 լիտր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