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ՀՀ-ՊԵԿ-ԷԱՃԱՊՁԲ-24/29-Ք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ՀՀ-ՊԵԿ-ԷԱՃԱՊՁԲ-24/29-Ք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ՀՀ-ՊԵԿ-ԷԱՃԱՊՁԲ-24/29-Ք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ՀՀ-ՊԵԿ-ԷԱՃԱՊՁԲ-24/29-Ք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ՀՀ-ՊԵԿ-ԷԱՃԱՊՁԲ-24/29-Ք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ՀՀ-ՊԵԿ-ԷԱՃԱՊՁԲ-24/29-Ք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«ՀՀ-ՊԵԿ-ԷԱՃԱՊՁԲ-24/29-Ք»*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ՀՀ-ՊԵԿ-ԷԱՃԱՊՁԲ-24/29-Ք*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«ՀՀ-ՊԵԿ-ԷԱՃԱՊՁԲ-24/29-Ք»*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ՀՀ-ՊԵԿ-ԷԱՃԱՊՁԲ-24/29-Ք*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կանոնակարգի:Այլ պայմաններ* Ապրանքի մատակարարումն իրականացվում է կտրոնային եղանակով: Վառելիքի կտրոնների տեղափոխումն իրականացնում է մատակարարը: Կտրոնի վրա նշված պիտանելիության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Կտրոնները պետք է սպասարկվեն ՀՀ 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