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ԱՍՀՆ-ԷԱՃԱՊՁԲ-25/7-3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ԱՍՀՆ-ԷԱՃԱՊՁԲ-25/7-3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ԱՍՀՆ-ԷԱՃԱՊՁԲ-25/7-3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- 112, բեռնվածությունը (կգ)- Max.load(kg) ոչ պակաս – 1120 կգ: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- 95,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60A 66A Անվանական ունակությունը-60 կամ 66Ա/Ժ, բևեռականությունը-հակադարձ կամ 0, երկարությունը` (ոչ ավել)-242մմ, լայնությունը (ոչ ավել) -175մմ, բարձրությունը (ոչ ավել)-190մմ, սառը պարպման հոսանքը EN (ոչ պակաս)-600A, մարտկոցի արտադրության տարեթիվը-2025թ: Չօգտագործված: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հեղուկ/անտիֆրիզ/ Astron,հիբրիդային (HOAT - Hybrid Organic Acid Technology) կամ համարժեքը, նախատեսված ներքին այրման շարժիչներում օգտագործվող, որպես հովացման հեղուկ, բյուրեղացման աստիճանը -40-ից ոչ բարձր, հիմնայնությունը 10 սմ3 ոչ պակաս, առանց մեխանիկական խառնուրդների, գույնը կարմիր կամ կանաչ,փաթեթավորումը 1լ G տարաներով: Տեղափոխումը մատակարարի կողմից: Արտադրության տարեթիվը-2025թ: Մնացած բոլոր տեխնիկական տվյալները պետք է համապատասխանեն 2422-007-57223659-2010 տեխնիկական պայմաններին: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