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2023.12.06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ԱՍՀՆ-ԷԱՃԱՊՁԲ-24/34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աշխատանքի և սոցիալական հարցերի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անվադող</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Քրիստինե Մայիլյան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010300124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kristine.mailyan@mlsa.am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աշխատանքի և սոցիալական հարցերի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ԱՍՀՆ-ԷԱՃԱՊՁԲ-24/34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2023.12.06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աշխատանքի և սոցիալական հարցերի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աշխատանքի և սոցիալական հարցերի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անվադող</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աշխատանքի և սոցիալական հարցերի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անվադող</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ԱՍՀՆ-ԷԱՃԱՊՁԲ-24/34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kristine.mailyan@mlsa.am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անվադող</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/ավտոմեքենաների  անիվներ/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ԱՍՀՆ-ԷԱՃԱՊՁԲ-24/34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աշխատանքի և սոցիալական հարցերի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ԱՍՀՆ-ԷԱՃԱՊՁԲ-24/34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ԱՍՀՆ-ԷԱՃԱՊՁԲ-24/34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ԱՍՀՆ-ԷԱՃԱՊՁԲ-24/34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«ԱՍՀՆ-ԷԱՃԱՊՁԲ-24/34»*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«ԱՍՀՆ-ԷԱՃԱՊՁԲ-24/34»*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աշխատանքի և սոցիալական հարցերի նախարարություն*  (այսուհետ` Պատվիրատու) կողմից կազմակերպված` ԱՍՀՆ-ԷԱՃԱՊՁԲ-24/34*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աշխատանքի և սոցիալական հարցերի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- 01506515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34351200/513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Անվադող /ավտոմեքենաների  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215/55Z/R17- Անվադող մարդատար ավտոմեքենայի ձմեռային, անխուց։ Անվադողի վրա պետք է նշված լինի արտադրող երկիրը և արտադրողը։ Գույնը՝ սև։ Անվադողի վրա պետք է նշված լինի անվադողի սահմանելի արագության ինդեքսը -Speed index  ոչ պակաս - T (190), բեռնվածության ինդեքսը -  Load index ոչ պակաս  - 95, բեռնվածությունը (կգ)-  Max.load(kg)  ոչ պակաս - 615: Անվադողի արտադրման տարեթիվը ոչ շուտ քան 2023թ 4-րդ եռամսյակ կամ 2024թ։  Անվադողի նշանադրումը, մակնշումը և տեխնիկական առանձնահատկությունները պետք է համապատասխանեն ՀՍՏ-183-99 պահանջներին: Չօգտագործված։ Ապրանքի մատակարարումը, բեռնաթափումը, իրականացնում է մատակարարը Անվադողերի փոխարինումը և անվհեծեր հավասարակշռումը/բալանսավորումը/ իրականացվում է մատակարարի կողմից՝ ըստ Պատվիրատուի պահանջի, Երևան քաղաքում: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Կառավարական տուն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կնքվելուց և համապատասխան համաձայնագրը ուժի մեջ մտնելուց հետո՝ 30 օրվա ընթացքում, բայց ոչ ուշ քան մինչև 2024 թվականի դեկտեմբերի 20-ը: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